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0A7B" w14:textId="77777777" w:rsidR="00D27B0E" w:rsidRDefault="00D27B0E">
      <w:pPr>
        <w:jc w:val="center"/>
        <w:rPr>
          <w:sz w:val="32"/>
          <w:szCs w:val="32"/>
          <w:lang w:val="en-CA"/>
        </w:rPr>
      </w:pPr>
    </w:p>
    <w:p w14:paraId="710AB313" w14:textId="77777777" w:rsidR="00D27B0E" w:rsidRDefault="00D60A1D">
      <w:pPr>
        <w:jc w:val="center"/>
        <w:rPr>
          <w:lang w:val="en-CA"/>
        </w:rPr>
      </w:pPr>
      <w:r>
        <w:rPr>
          <w:sz w:val="32"/>
          <w:szCs w:val="32"/>
          <w:lang w:val="en-CA"/>
        </w:rPr>
        <w:t>BBME Letter of Understanding</w:t>
      </w:r>
    </w:p>
    <w:p w14:paraId="4284C80E" w14:textId="77777777" w:rsidR="00D27B0E" w:rsidRDefault="00D60A1D">
      <w:pPr>
        <w:spacing w:after="60"/>
        <w:rPr>
          <w:lang w:val="en-CA"/>
        </w:rPr>
      </w:pPr>
      <w:r>
        <w:rPr>
          <w:lang w:val="en-CA"/>
        </w:rPr>
        <w:t>From:</w:t>
      </w:r>
      <w:r>
        <w:rPr>
          <w:lang w:val="en-CA"/>
        </w:rPr>
        <w:tab/>
      </w:r>
      <w:r>
        <w:rPr>
          <w:i/>
          <w:color w:val="4472C4" w:themeColor="accent5"/>
          <w:lang w:val="en-CA"/>
        </w:rPr>
        <w:t>[supervisor name]</w:t>
      </w:r>
    </w:p>
    <w:p w14:paraId="7AFB8724" w14:textId="77777777" w:rsidR="00D27B0E" w:rsidRDefault="00D60A1D" w:rsidP="00DA1DF3">
      <w:pPr>
        <w:spacing w:after="60"/>
        <w:rPr>
          <w:lang w:val="en-CA"/>
        </w:rPr>
      </w:pPr>
      <w:r>
        <w:rPr>
          <w:lang w:val="en-CA"/>
        </w:rPr>
        <w:t xml:space="preserve">Dear </w:t>
      </w:r>
      <w:r>
        <w:rPr>
          <w:i/>
          <w:color w:val="4472C4" w:themeColor="accent5"/>
          <w:lang w:val="en-CA"/>
        </w:rPr>
        <w:t>[trainee name],</w:t>
      </w:r>
      <w:r>
        <w:rPr>
          <w:lang w:val="en-CA"/>
        </w:rPr>
        <w:tab/>
      </w:r>
    </w:p>
    <w:p w14:paraId="25F7F6F9" w14:textId="19170766" w:rsidR="00E52FC3" w:rsidRDefault="00D60A1D">
      <w:pPr>
        <w:spacing w:after="60" w:line="288" w:lineRule="auto"/>
      </w:pPr>
      <w:r>
        <w:rPr>
          <w:lang w:val="en-CA"/>
        </w:rPr>
        <w:tab/>
        <w:t xml:space="preserve">You have been admitted into our </w:t>
      </w:r>
      <w:r>
        <w:rPr>
          <w:i/>
          <w:color w:val="4472C4" w:themeColor="accent5"/>
          <w:lang w:val="en-CA"/>
        </w:rPr>
        <w:t>[</w:t>
      </w:r>
      <w:r>
        <w:rPr>
          <w:b/>
          <w:i/>
          <w:color w:val="4472C4" w:themeColor="accent5"/>
          <w:lang w:val="en-CA"/>
        </w:rPr>
        <w:t>select</w:t>
      </w:r>
      <w:r>
        <w:rPr>
          <w:i/>
          <w:color w:val="4472C4" w:themeColor="accent5"/>
          <w:lang w:val="en-CA"/>
        </w:rPr>
        <w:t xml:space="preserve"> M. Eng. or PhD]</w:t>
      </w:r>
      <w:r>
        <w:rPr>
          <w:color w:val="4472C4" w:themeColor="accent5"/>
          <w:lang w:val="en-CA"/>
        </w:rPr>
        <w:t xml:space="preserve"> </w:t>
      </w:r>
      <w:r>
        <w:rPr>
          <w:lang w:val="en-CA"/>
        </w:rPr>
        <w:t>program in Biological &amp; Biomedical Engineering. My overall goal is to guide you through a transformation from trainee to independent researcher in your field of interest, while building relationships for a future network of colleagues. The following are points of discussion designed to make this process efficient and productive for both trainees and supervisors. They are adjusted to the nature of the research in our research laboratory and complement the directives in your official Letter of Offer from McGill. Both supervisor and trainee have rights and responsibilities.</w:t>
      </w:r>
      <w:r w:rsidR="00775BDB">
        <w:rPr>
          <w:lang w:val="en-CA"/>
        </w:rPr>
        <w:t xml:space="preserve"> Both supervisor and trainee </w:t>
      </w:r>
      <w:r w:rsidR="00775BDB" w:rsidRPr="00775BDB">
        <w:rPr>
          <w:b/>
          <w:bCs/>
          <w:lang w:val="en-CA"/>
        </w:rPr>
        <w:t>must review the McGill Expectations for Graduate Supervision (included below)</w:t>
      </w:r>
      <w:r w:rsidR="00775BDB">
        <w:rPr>
          <w:lang w:val="en-CA"/>
        </w:rPr>
        <w:t xml:space="preserve"> and McGill University </w:t>
      </w:r>
      <w:hyperlink r:id="rId9" w:history="1">
        <w:r w:rsidR="00775BDB" w:rsidRPr="00775BDB">
          <w:rPr>
            <w:rStyle w:val="Hyperlink"/>
            <w:lang w:val="en-CA"/>
          </w:rPr>
          <w:t>policies</w:t>
        </w:r>
      </w:hyperlink>
      <w:r w:rsidR="00775BDB" w:rsidRPr="00775BDB">
        <w:rPr>
          <w:lang w:val="en-CA"/>
        </w:rPr>
        <w:t xml:space="preserve"> regarding graduate studies</w:t>
      </w:r>
      <w:r w:rsidR="00775BDB">
        <w:rPr>
          <w:lang w:val="en-CA"/>
        </w:rPr>
        <w:t xml:space="preserve">. </w:t>
      </w:r>
      <w:r>
        <w:rPr>
          <w:lang w:val="en-CA"/>
        </w:rPr>
        <w:t xml:space="preserve"> Please </w:t>
      </w:r>
      <w:r w:rsidR="00775BDB">
        <w:rPr>
          <w:lang w:val="en-CA"/>
        </w:rPr>
        <w:t xml:space="preserve">also </w:t>
      </w:r>
      <w:r>
        <w:rPr>
          <w:lang w:val="en-CA"/>
        </w:rPr>
        <w:t xml:space="preserve">see </w:t>
      </w:r>
      <w:hyperlink r:id="rId10">
        <w:r>
          <w:rPr>
            <w:rStyle w:val="InternetLink"/>
            <w:rFonts w:eastAsia="Times New Roman" w:cs="Times New Roman"/>
            <w:color w:val="0000FF"/>
          </w:rPr>
          <w:t>www.mcgill.ca/gradsupervision</w:t>
        </w:r>
      </w:hyperlink>
      <w:r w:rsidR="00E52FC3">
        <w:t>.</w:t>
      </w:r>
    </w:p>
    <w:p w14:paraId="2383A3EE" w14:textId="77777777" w:rsidR="00775BDB" w:rsidRDefault="00775BDB">
      <w:pPr>
        <w:spacing w:after="60" w:line="288" w:lineRule="auto"/>
      </w:pPr>
    </w:p>
    <w:p w14:paraId="34CA7471" w14:textId="77777777" w:rsidR="00D27B0E" w:rsidRDefault="00D60A1D">
      <w:pPr>
        <w:pStyle w:val="Default"/>
        <w:spacing w:after="60"/>
      </w:pPr>
      <w:r>
        <w:rPr>
          <w:b/>
          <w:sz w:val="28"/>
          <w:szCs w:val="28"/>
        </w:rPr>
        <w:t>1</w:t>
      </w:r>
      <w:r>
        <w:rPr>
          <w:sz w:val="28"/>
          <w:szCs w:val="28"/>
        </w:rPr>
        <w:t>:</w:t>
      </w:r>
      <w:r>
        <w:t xml:space="preserve"> </w:t>
      </w:r>
      <w:r>
        <w:rPr>
          <w:b/>
          <w:sz w:val="28"/>
          <w:szCs w:val="28"/>
        </w:rPr>
        <w:t>Professional relationships</w:t>
      </w:r>
      <w:r>
        <w:t xml:space="preserve"> (communication/ honesty/ respect/ collaboration/ awareness) </w:t>
      </w:r>
    </w:p>
    <w:p w14:paraId="55E1DF8D" w14:textId="77777777" w:rsidR="00D27B0E" w:rsidRDefault="00D60A1D">
      <w:pPr>
        <w:pStyle w:val="Default"/>
        <w:spacing w:after="60" w:line="288" w:lineRule="auto"/>
      </w:pPr>
      <w:r>
        <w:tab/>
        <w:t xml:space="preserve">You will be joining a working team, and expected to collaborate as needed with colleagues. Teamwork is an essential skill for a researcher.  Some of your work will focus on your thesis goals, but some may also be part of a larger team </w:t>
      </w:r>
      <w:r w:rsidR="00B91DA2">
        <w:t>goal that</w:t>
      </w:r>
      <w:r>
        <w:t xml:space="preserve"> will allow a broader perspective on research planning. All contributions are recognized appropriately (see </w:t>
      </w:r>
      <w:r>
        <w:rPr>
          <w:b/>
        </w:rPr>
        <w:t>#2</w:t>
      </w:r>
      <w:r w:rsidRPr="00836C0C">
        <w:t>).</w:t>
      </w:r>
    </w:p>
    <w:p w14:paraId="554A0F85" w14:textId="77777777" w:rsidR="00985BB2" w:rsidRDefault="00985BB2">
      <w:pPr>
        <w:pStyle w:val="Default"/>
        <w:spacing w:after="60" w:line="288" w:lineRule="auto"/>
      </w:pPr>
    </w:p>
    <w:p w14:paraId="15423F5B" w14:textId="77777777" w:rsidR="00D27B0E" w:rsidRDefault="00D60A1D">
      <w:pPr>
        <w:pStyle w:val="Default"/>
        <w:spacing w:after="60"/>
      </w:pPr>
      <w:r>
        <w:rPr>
          <w:b/>
          <w:sz w:val="28"/>
          <w:szCs w:val="28"/>
        </w:rPr>
        <w:t>2:</w:t>
      </w:r>
      <w:r>
        <w:t xml:space="preserve"> </w:t>
      </w:r>
      <w:r>
        <w:rPr>
          <w:b/>
          <w:sz w:val="28"/>
          <w:szCs w:val="28"/>
        </w:rPr>
        <w:t>Academic skill development</w:t>
      </w:r>
      <w:r>
        <w:t xml:space="preserve"> (writing/ presenting/ research/ academic rigor/ autonomy) </w:t>
      </w:r>
    </w:p>
    <w:p w14:paraId="298537F6" w14:textId="77777777" w:rsidR="00D27B0E" w:rsidRDefault="00D60A1D">
      <w:pPr>
        <w:pStyle w:val="Default"/>
        <w:spacing w:line="288" w:lineRule="auto"/>
      </w:pPr>
      <w:r>
        <w:tab/>
        <w:t xml:space="preserve">Together, we will strengthen your skills to search for papers, patents and other information on your research topic. You will thus stay up to date and report novelties to your supervisor(s) and lab mates. When writing, any claims in your publications or reports should be rigorously accurate and verified. You will be given opportunities to gain experience in oral presentations in open conferences, and in preparing written journal articles. Sometimes authorship will be assigned to several colleagues if they made significant contributions, with the order of the authors’ names agreed to by all. You will normally be the first author on reports of your own project. See also </w:t>
      </w:r>
      <w:r>
        <w:rPr>
          <w:i/>
          <w:color w:val="4472C4" w:themeColor="accent5"/>
        </w:rPr>
        <w:t>[</w:t>
      </w:r>
      <w:hyperlink r:id="rId11">
        <w:r>
          <w:rPr>
            <w:rStyle w:val="VisitedInternetLink"/>
            <w:i/>
          </w:rPr>
          <w:t>http://www.mcgill.ca/gradsupervision/timelines/emergence-independent-researchers/publishing</w:t>
        </w:r>
      </w:hyperlink>
      <w:r>
        <w:rPr>
          <w:i/>
          <w:color w:val="4472C4" w:themeColor="accent5"/>
        </w:rPr>
        <w:t>]</w:t>
      </w:r>
    </w:p>
    <w:p w14:paraId="76C0B127" w14:textId="77777777" w:rsidR="00D27B0E" w:rsidRDefault="00D60A1D">
      <w:pPr>
        <w:pStyle w:val="Default"/>
        <w:spacing w:after="60" w:line="288" w:lineRule="auto"/>
      </w:pPr>
      <w:r>
        <w:t xml:space="preserve">The ultimate intent is for you to develop </w:t>
      </w:r>
      <w:r>
        <w:rPr>
          <w:i/>
        </w:rPr>
        <w:t>autonomy</w:t>
      </w:r>
      <w:r>
        <w:t xml:space="preserve"> and </w:t>
      </w:r>
      <w:r>
        <w:rPr>
          <w:i/>
        </w:rPr>
        <w:t>creative thinking</w:t>
      </w:r>
      <w:r>
        <w:t xml:space="preserve"> by proposing and justifying novel directions to your peers. </w:t>
      </w:r>
      <w:r>
        <w:rPr>
          <w:i/>
        </w:rPr>
        <w:t>Before submitting your thesis:</w:t>
      </w:r>
    </w:p>
    <w:p w14:paraId="59592EBC" w14:textId="77777777" w:rsidR="00D27B0E" w:rsidRDefault="00D60A1D">
      <w:pPr>
        <w:pStyle w:val="Default"/>
        <w:numPr>
          <w:ilvl w:val="0"/>
          <w:numId w:val="1"/>
        </w:numPr>
        <w:ind w:hanging="357"/>
      </w:pPr>
      <w:r>
        <w:rPr>
          <w:i/>
        </w:rPr>
        <w:t xml:space="preserve">You must </w:t>
      </w:r>
      <w:r>
        <w:t xml:space="preserve">comply with all progress meeting deadlines and recommendations in the program. </w:t>
      </w:r>
      <w:r>
        <w:rPr>
          <w:b/>
          <w:i/>
          <w:color w:val="4472C4" w:themeColor="accent5"/>
        </w:rPr>
        <w:t>[</w:t>
      </w:r>
      <w:hyperlink r:id="rId12">
        <w:r>
          <w:rPr>
            <w:rStyle w:val="InternetLink"/>
            <w:sz w:val="23"/>
            <w:szCs w:val="23"/>
          </w:rPr>
          <w:t>https://mcgill.ca/bbme/students/policies-forms</w:t>
        </w:r>
      </w:hyperlink>
      <w:r>
        <w:rPr>
          <w:b/>
          <w:i/>
          <w:color w:val="4472C4" w:themeColor="accent5"/>
        </w:rPr>
        <w:t>]</w:t>
      </w:r>
    </w:p>
    <w:p w14:paraId="4D62CF04" w14:textId="77777777" w:rsidR="00D27B0E" w:rsidRDefault="00D60A1D">
      <w:pPr>
        <w:pStyle w:val="Default"/>
        <w:numPr>
          <w:ilvl w:val="0"/>
          <w:numId w:val="1"/>
        </w:numPr>
        <w:ind w:hanging="357"/>
        <w:rPr>
          <w:rStyle w:val="PageNumber"/>
        </w:rPr>
      </w:pPr>
      <w:r>
        <w:rPr>
          <w:i/>
        </w:rPr>
        <w:t xml:space="preserve">You are expected to provide as part of your thesis </w:t>
      </w:r>
      <w:r>
        <w:rPr>
          <w:i/>
          <w:color w:val="4472C4" w:themeColor="accent5"/>
        </w:rPr>
        <w:t>[</w:t>
      </w:r>
      <w:r>
        <w:rPr>
          <w:b/>
          <w:i/>
          <w:color w:val="4472C4" w:themeColor="accent5"/>
        </w:rPr>
        <w:t>select</w:t>
      </w:r>
      <w:r>
        <w:rPr>
          <w:i/>
          <w:color w:val="4472C4" w:themeColor="accent5"/>
        </w:rPr>
        <w:t>: XX original contributions for M. Eng. or YY original contributions for PhD level]</w:t>
      </w:r>
      <w:r w:rsidRPr="007F0BE3">
        <w:rPr>
          <w:color w:val="000000" w:themeColor="text1"/>
        </w:rPr>
        <w:t xml:space="preserve">. </w:t>
      </w:r>
      <w:r>
        <w:rPr>
          <w:i/>
          <w:color w:val="000000" w:themeColor="text1"/>
        </w:rPr>
        <w:t xml:space="preserve">Depending on the nature of these contributions, they may </w:t>
      </w:r>
      <w:r>
        <w:rPr>
          <w:i/>
          <w:color w:val="000000" w:themeColor="text1"/>
        </w:rPr>
        <w:lastRenderedPageBreak/>
        <w:t>appear as conference or journal papers, as review articles or as IP disclosures.</w:t>
      </w:r>
    </w:p>
    <w:p w14:paraId="62ACBBCB" w14:textId="77777777" w:rsidR="00D27B0E" w:rsidRPr="00985BB2" w:rsidRDefault="00D60A1D" w:rsidP="00D6786C">
      <w:pPr>
        <w:pStyle w:val="Default"/>
        <w:numPr>
          <w:ilvl w:val="0"/>
          <w:numId w:val="1"/>
        </w:numPr>
        <w:spacing w:after="120"/>
        <w:ind w:hanging="357"/>
        <w:rPr>
          <w:b/>
          <w:sz w:val="28"/>
          <w:szCs w:val="28"/>
        </w:rPr>
      </w:pPr>
      <w:r>
        <w:t>Finally, I will make every effort to support you in future career applications.</w:t>
      </w:r>
    </w:p>
    <w:p w14:paraId="17AD57CE" w14:textId="77777777" w:rsidR="00985BB2" w:rsidRPr="00D6786C" w:rsidRDefault="00985BB2" w:rsidP="00985BB2">
      <w:pPr>
        <w:pStyle w:val="Default"/>
        <w:spacing w:after="120"/>
        <w:rPr>
          <w:b/>
          <w:sz w:val="28"/>
          <w:szCs w:val="28"/>
        </w:rPr>
      </w:pPr>
    </w:p>
    <w:p w14:paraId="700E3361" w14:textId="77777777" w:rsidR="00D27B0E" w:rsidRDefault="00D60A1D">
      <w:pPr>
        <w:pStyle w:val="Default"/>
        <w:spacing w:after="120"/>
      </w:pPr>
      <w:r>
        <w:rPr>
          <w:b/>
          <w:sz w:val="28"/>
          <w:szCs w:val="28"/>
        </w:rPr>
        <w:t>3</w:t>
      </w:r>
      <w:r>
        <w:rPr>
          <w:sz w:val="28"/>
          <w:szCs w:val="28"/>
        </w:rPr>
        <w:t>:</w:t>
      </w:r>
      <w:r>
        <w:t xml:space="preserve"> </w:t>
      </w:r>
      <w:r>
        <w:rPr>
          <w:b/>
          <w:sz w:val="28"/>
          <w:szCs w:val="28"/>
        </w:rPr>
        <w:t>Time management</w:t>
      </w:r>
      <w:r>
        <w:t xml:space="preserve"> (working time/ graduation timeline/ timeliness) </w:t>
      </w:r>
    </w:p>
    <w:p w14:paraId="6BD5FD42" w14:textId="77777777" w:rsidR="00D27B0E" w:rsidRDefault="00D60A1D">
      <w:pPr>
        <w:pStyle w:val="Default"/>
        <w:spacing w:line="288" w:lineRule="auto"/>
      </w:pPr>
      <w:r>
        <w:rPr>
          <w:i/>
        </w:rPr>
        <w:tab/>
        <w:t xml:space="preserve">The minimum/maximum window to graduation is </w:t>
      </w:r>
      <w:r>
        <w:rPr>
          <w:i/>
          <w:color w:val="4472C4" w:themeColor="accent5"/>
        </w:rPr>
        <w:t>[</w:t>
      </w:r>
      <w:r>
        <w:rPr>
          <w:b/>
          <w:i/>
          <w:color w:val="4472C4" w:themeColor="accent5"/>
        </w:rPr>
        <w:t>select</w:t>
      </w:r>
      <w:r>
        <w:rPr>
          <w:i/>
          <w:color w:val="4472C4" w:themeColor="accent5"/>
        </w:rPr>
        <w:t xml:space="preserve"> 3/6 years for PhD, or 1.5/ 3 years for M.Eng.]</w:t>
      </w:r>
      <w:r>
        <w:rPr>
          <w:color w:val="000000" w:themeColor="text1"/>
        </w:rPr>
        <w:t xml:space="preserve">  Work</w:t>
      </w:r>
      <w:r>
        <w:t xml:space="preserve"> guidelines are important to optimize your progress within this timeline and minimize costly extensions:</w:t>
      </w:r>
    </w:p>
    <w:p w14:paraId="0B61B1E9" w14:textId="77777777" w:rsidR="00D27B0E" w:rsidRDefault="00D60A1D">
      <w:pPr>
        <w:pStyle w:val="Default"/>
        <w:numPr>
          <w:ilvl w:val="0"/>
          <w:numId w:val="1"/>
        </w:numPr>
        <w:spacing w:after="120"/>
        <w:ind w:hanging="357"/>
        <w:rPr>
          <w:i/>
        </w:rPr>
      </w:pPr>
      <w:r>
        <w:rPr>
          <w:i/>
          <w:color w:val="4472C4" w:themeColor="accent5"/>
        </w:rPr>
        <w:t xml:space="preserve">[each lab, edit your requirements]- </w:t>
      </w:r>
      <w:r>
        <w:rPr>
          <w:i/>
        </w:rPr>
        <w:t xml:space="preserve">according to experimental needs, required presence in the lab for work, and duties </w:t>
      </w:r>
    </w:p>
    <w:p w14:paraId="3DF2DE88" w14:textId="77777777" w:rsidR="00D27B0E" w:rsidRDefault="00D60A1D">
      <w:pPr>
        <w:pStyle w:val="Default"/>
        <w:numPr>
          <w:ilvl w:val="0"/>
          <w:numId w:val="1"/>
        </w:numPr>
        <w:spacing w:after="120"/>
        <w:ind w:hanging="357"/>
      </w:pPr>
      <w:r>
        <w:t xml:space="preserve">The expected frequency of one-on-one meetings with me is every ##weeks, and of general lab meetings is every ##weeks. Attendance at lab meetings is compulsory and strongly encouraged at selected public seminars. </w:t>
      </w:r>
    </w:p>
    <w:p w14:paraId="294FEBA9" w14:textId="77777777" w:rsidR="00D27B0E" w:rsidRDefault="00D60A1D">
      <w:pPr>
        <w:pStyle w:val="Default"/>
        <w:numPr>
          <w:ilvl w:val="0"/>
          <w:numId w:val="1"/>
        </w:numPr>
        <w:spacing w:after="120"/>
        <w:ind w:hanging="357"/>
      </w:pPr>
      <w:r>
        <w:t xml:space="preserve">Be on time for any appointment or meeting as a sign of respect </w:t>
      </w:r>
    </w:p>
    <w:p w14:paraId="7A108D94" w14:textId="77777777" w:rsidR="00D27B0E" w:rsidRDefault="00D27B0E">
      <w:pPr>
        <w:pStyle w:val="Default"/>
        <w:spacing w:after="120"/>
      </w:pPr>
    </w:p>
    <w:p w14:paraId="68146924" w14:textId="77777777" w:rsidR="00D27B0E" w:rsidRDefault="00D60A1D">
      <w:pPr>
        <w:pStyle w:val="Default"/>
        <w:spacing w:after="120"/>
      </w:pPr>
      <w:r>
        <w:rPr>
          <w:b/>
          <w:sz w:val="28"/>
          <w:szCs w:val="28"/>
        </w:rPr>
        <w:t>4: Feedback</w:t>
      </w:r>
      <w:r>
        <w:t xml:space="preserve"> (assessment/ performance/contact) </w:t>
      </w:r>
    </w:p>
    <w:p w14:paraId="72126603" w14:textId="77777777" w:rsidR="00D27B0E" w:rsidRDefault="00D60A1D">
      <w:pPr>
        <w:pStyle w:val="Default"/>
        <w:spacing w:after="120" w:line="288" w:lineRule="auto"/>
      </w:pPr>
      <w:r>
        <w:tab/>
        <w:t>Feedback throughout training is essential to make deadlines. I will set submission dates and expect reports in a timely manner; in return, I will provide comments on the quality and progress of your submissions to allow fast corrections or changes in directions and meet external deadlines. This can occur during lab meetings, one-on-one meetings or when editing presentations/manuscript drafts etc. (</w:t>
      </w:r>
      <w:r>
        <w:rPr>
          <w:color w:val="4472C4" w:themeColor="accent5"/>
        </w:rPr>
        <w:t>see #3</w:t>
      </w:r>
      <w:r>
        <w:t xml:space="preserve">). To facilitate contact, I provide my </w:t>
      </w:r>
      <w:r>
        <w:rPr>
          <w:i/>
        </w:rPr>
        <w:t>Emergency Contact information</w:t>
      </w:r>
      <w:r>
        <w:t xml:space="preserve"> below:</w:t>
      </w:r>
    </w:p>
    <w:p w14:paraId="46E07C6C" w14:textId="77777777" w:rsidR="00D27B0E" w:rsidRDefault="00D60A1D">
      <w:pPr>
        <w:pStyle w:val="Default"/>
        <w:spacing w:after="120"/>
      </w:pPr>
      <w:r>
        <w:rPr>
          <w:color w:val="4472C4" w:themeColor="accent5"/>
        </w:rPr>
        <w:t>Supervisor: provide Adjust Phones-email</w:t>
      </w:r>
      <w:proofErr w:type="gramStart"/>
      <w:r>
        <w:t>…..</w:t>
      </w:r>
      <w:proofErr w:type="gramEnd"/>
    </w:p>
    <w:p w14:paraId="2D12147A" w14:textId="77777777" w:rsidR="00D27B0E" w:rsidRDefault="00D27B0E">
      <w:pPr>
        <w:pStyle w:val="Default"/>
        <w:spacing w:after="120"/>
        <w:rPr>
          <w:b/>
          <w:sz w:val="28"/>
          <w:szCs w:val="28"/>
        </w:rPr>
      </w:pPr>
    </w:p>
    <w:p w14:paraId="29A84C9C" w14:textId="77777777" w:rsidR="00D27B0E" w:rsidRDefault="00D60A1D">
      <w:pPr>
        <w:pStyle w:val="Default"/>
        <w:spacing w:after="120"/>
      </w:pPr>
      <w:r>
        <w:rPr>
          <w:b/>
          <w:sz w:val="28"/>
          <w:szCs w:val="28"/>
        </w:rPr>
        <w:t>5: Ethics &amp; Intellectual Property</w:t>
      </w:r>
      <w:r>
        <w:rPr>
          <w:b/>
        </w:rPr>
        <w:t xml:space="preserve"> </w:t>
      </w:r>
      <w:r>
        <w:t>(lab confidentiality, IP rules at McGill)</w:t>
      </w:r>
    </w:p>
    <w:p w14:paraId="388FD0AB" w14:textId="77777777" w:rsidR="00D27B0E" w:rsidRDefault="00D60A1D">
      <w:pPr>
        <w:pStyle w:val="Default"/>
        <w:spacing w:after="120" w:line="288" w:lineRule="auto"/>
      </w:pPr>
      <w:r>
        <w:t xml:space="preserve">First, all IP acquired during research done at McGill under federal or provincial grants belongs to McGill and the inventors. Any confidential information divulged during lab interactions must not be shared with anyone, without my explicit consent as your supervisor. Student and supervisor must be aware and comply with the guidelines for academic integrity and intellectual property at McGill </w:t>
      </w:r>
      <w:r>
        <w:rPr>
          <w:b/>
          <w:color w:val="4472C4" w:themeColor="accent5"/>
        </w:rPr>
        <w:t>[</w:t>
      </w:r>
      <w:hyperlink r:id="rId13">
        <w:r>
          <w:rPr>
            <w:rStyle w:val="InternetLink"/>
            <w:sz w:val="23"/>
            <w:szCs w:val="23"/>
          </w:rPr>
          <w:t>http://mcgill.ca/gradsupervision/resources/policies-guidelines-and-advice</w:t>
        </w:r>
      </w:hyperlink>
      <w:r>
        <w:rPr>
          <w:b/>
          <w:color w:val="4472C4" w:themeColor="accent5"/>
        </w:rPr>
        <w:t>]</w:t>
      </w:r>
      <w:r w:rsidRPr="00950BEC">
        <w:rPr>
          <w:color w:val="000000" w:themeColor="text1"/>
        </w:rPr>
        <w:t xml:space="preserve">. </w:t>
      </w:r>
      <w:r>
        <w:t>For example, all lab books and associated data/software must remain with the lab at McGill when you complete your degree.</w:t>
      </w:r>
    </w:p>
    <w:p w14:paraId="0044FB5A" w14:textId="77777777" w:rsidR="00D27B0E" w:rsidRDefault="00D27B0E">
      <w:pPr>
        <w:pStyle w:val="Default"/>
        <w:spacing w:after="120" w:line="288" w:lineRule="auto"/>
      </w:pPr>
    </w:p>
    <w:p w14:paraId="716B6D41" w14:textId="77777777" w:rsidR="00D27B0E" w:rsidRDefault="00D60A1D">
      <w:pPr>
        <w:pStyle w:val="Default"/>
        <w:spacing w:after="120"/>
      </w:pPr>
      <w:r>
        <w:rPr>
          <w:b/>
          <w:sz w:val="28"/>
          <w:szCs w:val="28"/>
        </w:rPr>
        <w:t>6: Conflict Resolution</w:t>
      </w:r>
      <w:r>
        <w:t xml:space="preserve"> (Plagiarism, IP issues, personal issues)</w:t>
      </w:r>
    </w:p>
    <w:p w14:paraId="414B5458" w14:textId="77777777" w:rsidR="00D27B0E" w:rsidRDefault="00D60A1D">
      <w:pPr>
        <w:pStyle w:val="Default"/>
        <w:spacing w:after="120" w:line="360" w:lineRule="auto"/>
      </w:pPr>
      <w:r>
        <w:t xml:space="preserve">Refer to </w:t>
      </w:r>
      <w:r>
        <w:rPr>
          <w:b/>
          <w:color w:val="4472C4" w:themeColor="accent5"/>
        </w:rPr>
        <w:t>[</w:t>
      </w:r>
      <w:hyperlink r:id="rId14">
        <w:r>
          <w:rPr>
            <w:rStyle w:val="InternetLink"/>
          </w:rPr>
          <w:t>https://www.mcgill.ca/gradsupervision/supervisors/interacting-supervisees/student-supervisor</w:t>
        </w:r>
      </w:hyperlink>
      <w:r>
        <w:rPr>
          <w:b/>
          <w:color w:val="4472C4" w:themeColor="accent5"/>
        </w:rPr>
        <w:t>]</w:t>
      </w:r>
      <w:r>
        <w:rPr>
          <w:color w:val="4472C4" w:themeColor="accent5"/>
        </w:rPr>
        <w:t xml:space="preserve"> </w:t>
      </w:r>
      <w:r>
        <w:t>for McGill contacts at all levels, concerning resolution of potential conflicts (student-student, student-staff</w:t>
      </w:r>
      <w:r w:rsidR="00C47234">
        <w:t>…</w:t>
      </w:r>
      <w:r>
        <w:t xml:space="preserve">). If the supervisor is not directly involved, he/she should be your first point of </w:t>
      </w:r>
      <w:r>
        <w:lastRenderedPageBreak/>
        <w:t>contact for a consultation.</w:t>
      </w:r>
    </w:p>
    <w:p w14:paraId="01EF9441" w14:textId="77777777" w:rsidR="00D27B0E" w:rsidRDefault="00D27B0E">
      <w:pPr>
        <w:rPr>
          <w:rFonts w:ascii="Calibri" w:hAnsi="Calibri" w:cs="Calibri"/>
          <w:color w:val="000000"/>
        </w:rPr>
      </w:pPr>
    </w:p>
    <w:p w14:paraId="5F1744BF" w14:textId="77777777" w:rsidR="00985BB2" w:rsidRDefault="00985BB2">
      <w:pPr>
        <w:rPr>
          <w:rFonts w:ascii="Calibri" w:hAnsi="Calibri" w:cs="Calibri"/>
          <w:color w:val="000000"/>
        </w:rPr>
      </w:pPr>
    </w:p>
    <w:p w14:paraId="1AB54A01" w14:textId="77777777" w:rsidR="00D27B0E" w:rsidRDefault="00D60A1D">
      <w:pPr>
        <w:spacing w:after="240"/>
      </w:pPr>
      <w:r>
        <w:rPr>
          <w:b/>
          <w:sz w:val="28"/>
          <w:szCs w:val="28"/>
        </w:rPr>
        <w:t>7: Environment</w:t>
      </w:r>
      <w:r>
        <w:t xml:space="preserve"> (access to resources/ safety) </w:t>
      </w:r>
    </w:p>
    <w:p w14:paraId="37E4C116" w14:textId="77777777" w:rsidR="00D27B0E" w:rsidRDefault="00D60A1D">
      <w:pPr>
        <w:pStyle w:val="Default"/>
        <w:spacing w:after="120"/>
        <w:rPr>
          <w:color w:val="4472C4" w:themeColor="accent5"/>
        </w:rPr>
      </w:pPr>
      <w:r>
        <w:rPr>
          <w:color w:val="000000" w:themeColor="text1"/>
        </w:rPr>
        <w:t xml:space="preserve"> Please consult the Safety Office guidelines for safety in research laboratories</w:t>
      </w:r>
    </w:p>
    <w:p w14:paraId="5DD02FB9" w14:textId="77777777" w:rsidR="00D27B0E" w:rsidRDefault="00D60A1D">
      <w:pPr>
        <w:pStyle w:val="Default"/>
        <w:spacing w:after="120"/>
      </w:pPr>
      <w:r>
        <w:rPr>
          <w:b/>
          <w:color w:val="4472C4" w:themeColor="accent5"/>
        </w:rPr>
        <w:tab/>
        <w:t xml:space="preserve">[ </w:t>
      </w:r>
      <w:hyperlink r:id="rId15">
        <w:r>
          <w:rPr>
            <w:rStyle w:val="InternetLink"/>
            <w:color w:val="4472C4" w:themeColor="accent5"/>
            <w:sz w:val="23"/>
            <w:szCs w:val="23"/>
          </w:rPr>
          <w:t>https://www.mcgill.ca/ehs/environmental-health-and-safety</w:t>
        </w:r>
      </w:hyperlink>
      <w:r>
        <w:rPr>
          <w:color w:val="4472C4" w:themeColor="accent5"/>
          <w:sz w:val="23"/>
          <w:szCs w:val="23"/>
        </w:rPr>
        <w:t xml:space="preserve"> </w:t>
      </w:r>
      <w:r>
        <w:rPr>
          <w:b/>
          <w:color w:val="4472C4" w:themeColor="accent5"/>
        </w:rPr>
        <w:t>]</w:t>
      </w:r>
      <w:r>
        <w:rPr>
          <w:color w:val="4472C4" w:themeColor="accent5"/>
        </w:rPr>
        <w:t xml:space="preserve">. </w:t>
      </w:r>
      <w:r>
        <w:rPr>
          <w:color w:val="000000" w:themeColor="text1"/>
        </w:rPr>
        <w:t>It provides all McGill regulations that concern your host laboratory, and procedures for certification of safety training</w:t>
      </w:r>
      <w:r>
        <w:rPr>
          <w:color w:val="4472C4" w:themeColor="accent5"/>
        </w:rPr>
        <w:t xml:space="preserve"> –</w:t>
      </w:r>
    </w:p>
    <w:p w14:paraId="16C3B808" w14:textId="77777777" w:rsidR="00D27B0E" w:rsidRDefault="00D60A1D">
      <w:pPr>
        <w:pStyle w:val="Default"/>
        <w:spacing w:after="120"/>
        <w:rPr>
          <w:color w:val="4472C4" w:themeColor="accent5"/>
        </w:rPr>
      </w:pPr>
      <w:r>
        <w:rPr>
          <w:color w:val="4472C4" w:themeColor="accent5"/>
        </w:rPr>
        <w:t>Supervisor</w:t>
      </w:r>
      <w:r>
        <w:rPr>
          <w:color w:val="000000" w:themeColor="text1"/>
        </w:rPr>
        <w:t xml:space="preserve">:  Provide </w:t>
      </w:r>
      <w:r>
        <w:rPr>
          <w:color w:val="4472C4" w:themeColor="accent5"/>
        </w:rPr>
        <w:t xml:space="preserve">links </w:t>
      </w:r>
      <w:r>
        <w:rPr>
          <w:color w:val="000000" w:themeColor="text1"/>
        </w:rPr>
        <w:t xml:space="preserve">for Resources outside lab for special equipment in some projects: </w:t>
      </w:r>
      <w:r>
        <w:rPr>
          <w:color w:val="4472C4" w:themeColor="accent5"/>
        </w:rPr>
        <w:t>[</w:t>
      </w:r>
      <w:proofErr w:type="gramStart"/>
      <w:r>
        <w:rPr>
          <w:color w:val="4472C4" w:themeColor="accent5"/>
        </w:rPr>
        <w:t>….Link</w:t>
      </w:r>
      <w:proofErr w:type="gramEnd"/>
      <w:r>
        <w:rPr>
          <w:color w:val="4472C4" w:themeColor="accent5"/>
        </w:rPr>
        <w:t>]?</w:t>
      </w:r>
    </w:p>
    <w:p w14:paraId="6D77CCFE" w14:textId="77777777" w:rsidR="00D27B0E" w:rsidRDefault="00D27B0E">
      <w:pPr>
        <w:spacing w:after="120"/>
      </w:pPr>
    </w:p>
    <w:p w14:paraId="28000E0F" w14:textId="77777777" w:rsidR="00D27B0E" w:rsidRDefault="00D60A1D">
      <w:pPr>
        <w:spacing w:after="120"/>
        <w:rPr>
          <w:color w:val="4472C4" w:themeColor="accent5"/>
        </w:rPr>
      </w:pPr>
      <w:r>
        <w:rPr>
          <w:b/>
        </w:rPr>
        <w:t>Closing comments</w:t>
      </w:r>
      <w:r>
        <w:t xml:space="preserve"> </w:t>
      </w:r>
      <w:r w:rsidRPr="000D0947">
        <w:rPr>
          <w:color w:val="4472C4" w:themeColor="accent5"/>
        </w:rPr>
        <w:t>(</w:t>
      </w:r>
      <w:r>
        <w:rPr>
          <w:color w:val="4472C4" w:themeColor="accent5"/>
        </w:rPr>
        <w:t>for supervisor if needed, comment on other personal views…)</w:t>
      </w:r>
    </w:p>
    <w:p w14:paraId="25280A93" w14:textId="77777777" w:rsidR="00D27B0E" w:rsidRPr="00A50C01" w:rsidRDefault="00D27B0E">
      <w:pPr>
        <w:spacing w:after="120"/>
      </w:pPr>
    </w:p>
    <w:p w14:paraId="215B55BA" w14:textId="47F4923E" w:rsidR="00775BDB" w:rsidRDefault="00775BDB">
      <w:pPr>
        <w:spacing w:after="120"/>
      </w:pPr>
    </w:p>
    <w:p w14:paraId="0C9B2DEB" w14:textId="77777777" w:rsidR="00775BDB" w:rsidRDefault="00775BDB">
      <w:pPr>
        <w:spacing w:after="120"/>
      </w:pPr>
    </w:p>
    <w:p w14:paraId="2F929DEC" w14:textId="77777777" w:rsidR="00775BDB" w:rsidRPr="00040285" w:rsidRDefault="00775BDB" w:rsidP="00775BDB">
      <w:pPr>
        <w:jc w:val="center"/>
        <w:rPr>
          <w:rFonts w:cstheme="minorHAnsi"/>
          <w:b/>
          <w:bCs/>
          <w:sz w:val="32"/>
          <w:szCs w:val="32"/>
          <w:u w:val="single"/>
        </w:rPr>
      </w:pPr>
      <w:r w:rsidRPr="00040285">
        <w:rPr>
          <w:rFonts w:cstheme="minorHAnsi"/>
          <w:b/>
          <w:bCs/>
          <w:sz w:val="32"/>
          <w:szCs w:val="32"/>
          <w:u w:val="single"/>
        </w:rPr>
        <w:t>McGill University Expectations for Graduate Supervision</w:t>
      </w:r>
    </w:p>
    <w:p w14:paraId="26C131D0" w14:textId="77777777" w:rsidR="00775BDB" w:rsidRPr="00040285" w:rsidRDefault="00775BDB" w:rsidP="00775BDB">
      <w:pPr>
        <w:pStyle w:val="ListParagraph"/>
        <w:rPr>
          <w:rFonts w:cstheme="minorHAnsi"/>
          <w:u w:val="single"/>
        </w:rPr>
      </w:pPr>
    </w:p>
    <w:p w14:paraId="5CA0D28D" w14:textId="77777777" w:rsidR="00775BDB" w:rsidRPr="00040285" w:rsidRDefault="00775BDB" w:rsidP="00775BDB">
      <w:pPr>
        <w:rPr>
          <w:rFonts w:cstheme="minorHAnsi"/>
        </w:rPr>
      </w:pPr>
      <w:r w:rsidRPr="00040285">
        <w:rPr>
          <w:rFonts w:cstheme="minorHAnsi"/>
        </w:rPr>
        <w:t xml:space="preserve">Supervising graduate students and postdocs at McGill University is a critical part of academic duties for faculty, as indicated in section 4.1 of the </w:t>
      </w:r>
      <w:hyperlink r:id="rId16" w:history="1">
        <w:r w:rsidRPr="00040285">
          <w:rPr>
            <w:rStyle w:val="Hyperlink"/>
            <w:rFonts w:cstheme="minorHAnsi"/>
          </w:rPr>
          <w:t>Regulations Relating to the Employment of Tenure Track and Tenured Academic Staff</w:t>
        </w:r>
      </w:hyperlink>
      <w:r w:rsidRPr="00040285">
        <w:rPr>
          <w:rFonts w:cstheme="minorHAnsi"/>
        </w:rPr>
        <w:t xml:space="preserve">, henceforth referred to as “the Regulations”. </w:t>
      </w:r>
    </w:p>
    <w:p w14:paraId="20BA4AD5" w14:textId="77777777" w:rsidR="00775BDB" w:rsidRPr="00040285" w:rsidRDefault="00775BDB" w:rsidP="00775BDB">
      <w:pPr>
        <w:rPr>
          <w:rFonts w:cstheme="minorHAnsi"/>
        </w:rPr>
      </w:pPr>
    </w:p>
    <w:p w14:paraId="25D59E87" w14:textId="77777777" w:rsidR="00775BDB" w:rsidRPr="00040285" w:rsidRDefault="00775BDB" w:rsidP="00775BDB">
      <w:pPr>
        <w:rPr>
          <w:rFonts w:cstheme="minorHAnsi"/>
        </w:rPr>
      </w:pPr>
      <w:r w:rsidRPr="00040285">
        <w:rPr>
          <w:rFonts w:cstheme="minorHAnsi"/>
        </w:rPr>
        <w:t xml:space="preserve">In order to supervise graduate students and postdocs, faculty must complete an </w:t>
      </w:r>
      <w:hyperlink r:id="rId17" w:history="1">
        <w:r w:rsidRPr="00040285">
          <w:rPr>
            <w:rStyle w:val="Hyperlink"/>
            <w:rFonts w:cstheme="minorHAnsi"/>
          </w:rPr>
          <w:t>orientation</w:t>
        </w:r>
      </w:hyperlink>
      <w:r w:rsidRPr="00040285">
        <w:rPr>
          <w:rFonts w:cstheme="minorHAnsi"/>
        </w:rPr>
        <w:t xml:space="preserve">. </w:t>
      </w:r>
    </w:p>
    <w:p w14:paraId="0F2F7005" w14:textId="77777777" w:rsidR="00775BDB" w:rsidRPr="00040285" w:rsidRDefault="00775BDB" w:rsidP="00775BDB">
      <w:pPr>
        <w:rPr>
          <w:rFonts w:cstheme="minorHAnsi"/>
        </w:rPr>
      </w:pPr>
    </w:p>
    <w:p w14:paraId="29E93487" w14:textId="77777777" w:rsidR="00775BDB" w:rsidRPr="00040285" w:rsidRDefault="00775BDB" w:rsidP="00775BDB">
      <w:pPr>
        <w:rPr>
          <w:rFonts w:cstheme="minorHAnsi"/>
        </w:rPr>
      </w:pPr>
      <w:r w:rsidRPr="00040285">
        <w:rPr>
          <w:rFonts w:cstheme="minorHAnsi"/>
        </w:rPr>
        <w:t xml:space="preserve">Supervisors are accountable to the Chair or leader of their academic unit, who is responsible for the allocation of academic duties (section 4.3 of the Regulations). To ensure all graduate students have the opportunity to succeed in obtaining their degree, the University expects all supervisors to meet the university-wide standards delineated below. </w:t>
      </w:r>
    </w:p>
    <w:p w14:paraId="7290E82C" w14:textId="77777777" w:rsidR="00775BDB" w:rsidRPr="00040285" w:rsidRDefault="00775BDB" w:rsidP="00775BDB">
      <w:pPr>
        <w:rPr>
          <w:rFonts w:cstheme="minorHAnsi"/>
        </w:rPr>
      </w:pPr>
    </w:p>
    <w:p w14:paraId="3C27C49D" w14:textId="77777777" w:rsidR="00775BDB" w:rsidRDefault="00775BDB" w:rsidP="00775BDB">
      <w:pPr>
        <w:rPr>
          <w:rFonts w:cstheme="minorHAnsi"/>
        </w:rPr>
      </w:pPr>
      <w:r w:rsidRPr="00040285">
        <w:rPr>
          <w:rFonts w:cstheme="minorHAnsi"/>
        </w:rPr>
        <w:t>Creating a respectful, inclusive, and professional research environment</w:t>
      </w:r>
      <w:r>
        <w:rPr>
          <w:rFonts w:cstheme="minorHAnsi"/>
        </w:rPr>
        <w:t xml:space="preserve"> while also </w:t>
      </w:r>
      <w:r w:rsidRPr="00040285">
        <w:rPr>
          <w:rFonts w:cstheme="minorHAnsi"/>
        </w:rPr>
        <w:t xml:space="preserve">being present, providing regular feedback, </w:t>
      </w:r>
      <w:r>
        <w:rPr>
          <w:rFonts w:cstheme="minorHAnsi"/>
        </w:rPr>
        <w:t>recognizing</w:t>
      </w:r>
      <w:r w:rsidRPr="00040285">
        <w:rPr>
          <w:rFonts w:cstheme="minorHAnsi"/>
        </w:rPr>
        <w:t xml:space="preserve"> limits, and knowing relevant policies </w:t>
      </w:r>
      <w:r>
        <w:rPr>
          <w:rFonts w:cstheme="minorHAnsi"/>
        </w:rPr>
        <w:t xml:space="preserve">helps faculty better support supervisees and </w:t>
      </w:r>
      <w:r w:rsidRPr="00040285">
        <w:rPr>
          <w:rFonts w:cstheme="minorHAnsi"/>
        </w:rPr>
        <w:t xml:space="preserve">prevent </w:t>
      </w:r>
      <w:r>
        <w:rPr>
          <w:rFonts w:cstheme="minorHAnsi"/>
        </w:rPr>
        <w:t>potential</w:t>
      </w:r>
      <w:r w:rsidRPr="00040285">
        <w:rPr>
          <w:rFonts w:cstheme="minorHAnsi"/>
        </w:rPr>
        <w:t xml:space="preserve"> </w:t>
      </w:r>
      <w:r>
        <w:rPr>
          <w:rFonts w:cstheme="minorHAnsi"/>
        </w:rPr>
        <w:t>misunderstandings</w:t>
      </w:r>
      <w:r w:rsidRPr="00040285">
        <w:rPr>
          <w:rFonts w:cstheme="minorHAnsi"/>
        </w:rPr>
        <w:t xml:space="preserve"> down the road. </w:t>
      </w:r>
    </w:p>
    <w:p w14:paraId="5CAE92C6" w14:textId="77777777" w:rsidR="00775BDB" w:rsidRPr="00040285" w:rsidRDefault="00775BDB" w:rsidP="00775BDB">
      <w:pPr>
        <w:rPr>
          <w:rFonts w:cstheme="minorHAnsi"/>
        </w:rPr>
      </w:pPr>
    </w:p>
    <w:p w14:paraId="3041AAAB" w14:textId="77777777" w:rsidR="00775BDB" w:rsidRPr="00040285" w:rsidRDefault="00775BDB" w:rsidP="00775BDB">
      <w:pPr>
        <w:rPr>
          <w:rFonts w:cstheme="minorHAnsi"/>
          <w:b/>
          <w:bCs/>
          <w:sz w:val="28"/>
          <w:szCs w:val="28"/>
        </w:rPr>
      </w:pPr>
      <w:r>
        <w:rPr>
          <w:rFonts w:cstheme="minorHAnsi"/>
          <w:b/>
          <w:bCs/>
          <w:sz w:val="28"/>
          <w:szCs w:val="28"/>
        </w:rPr>
        <w:t>S</w:t>
      </w:r>
      <w:r w:rsidRPr="00040285">
        <w:rPr>
          <w:rFonts w:cstheme="minorHAnsi"/>
          <w:b/>
          <w:bCs/>
          <w:sz w:val="28"/>
          <w:szCs w:val="28"/>
        </w:rPr>
        <w:t>upervisor</w:t>
      </w:r>
      <w:r>
        <w:rPr>
          <w:rFonts w:cstheme="minorHAnsi"/>
          <w:b/>
          <w:bCs/>
          <w:sz w:val="28"/>
          <w:szCs w:val="28"/>
        </w:rPr>
        <w:t>s</w:t>
      </w:r>
      <w:r w:rsidRPr="00040285">
        <w:rPr>
          <w:rFonts w:cstheme="minorHAnsi"/>
          <w:b/>
          <w:bCs/>
          <w:sz w:val="28"/>
          <w:szCs w:val="28"/>
        </w:rPr>
        <w:t xml:space="preserve"> have a responsibility to: </w:t>
      </w:r>
    </w:p>
    <w:p w14:paraId="623D3BCF" w14:textId="77777777" w:rsidR="00775BDB" w:rsidRPr="00040285" w:rsidRDefault="00775BDB" w:rsidP="00775BDB">
      <w:pPr>
        <w:rPr>
          <w:rFonts w:cstheme="minorHAnsi"/>
        </w:rPr>
      </w:pPr>
    </w:p>
    <w:p w14:paraId="622C5E4C" w14:textId="77777777" w:rsidR="00775BDB" w:rsidRPr="00040285" w:rsidRDefault="00775BDB" w:rsidP="00775BDB">
      <w:pPr>
        <w:pStyle w:val="ListParagraph"/>
        <w:numPr>
          <w:ilvl w:val="0"/>
          <w:numId w:val="3"/>
        </w:numPr>
        <w:rPr>
          <w:rFonts w:cstheme="minorHAnsi"/>
        </w:rPr>
      </w:pPr>
      <w:r w:rsidRPr="00040285">
        <w:rPr>
          <w:rFonts w:cstheme="minorHAnsi"/>
          <w:b/>
          <w:bCs/>
          <w:sz w:val="28"/>
          <w:szCs w:val="28"/>
        </w:rPr>
        <w:t xml:space="preserve">Build and maintain a respectful, inclusive, professional research environment for </w:t>
      </w:r>
      <w:r>
        <w:rPr>
          <w:rFonts w:cstheme="minorHAnsi"/>
          <w:b/>
          <w:bCs/>
          <w:sz w:val="28"/>
          <w:szCs w:val="28"/>
        </w:rPr>
        <w:t>their</w:t>
      </w:r>
      <w:r w:rsidRPr="00040285">
        <w:rPr>
          <w:rFonts w:cstheme="minorHAnsi"/>
          <w:b/>
          <w:bCs/>
          <w:sz w:val="28"/>
          <w:szCs w:val="28"/>
        </w:rPr>
        <w:t xml:space="preserve"> supervisees.  </w:t>
      </w:r>
    </w:p>
    <w:p w14:paraId="5B2A6B3D" w14:textId="77777777" w:rsidR="00775BDB" w:rsidRPr="00040285" w:rsidRDefault="00775BDB" w:rsidP="00775BDB">
      <w:pPr>
        <w:rPr>
          <w:rFonts w:cstheme="minorHAnsi"/>
        </w:rPr>
      </w:pPr>
    </w:p>
    <w:p w14:paraId="0560F701" w14:textId="77777777" w:rsidR="00775BDB" w:rsidRPr="00040285" w:rsidRDefault="00775BDB" w:rsidP="00775BDB">
      <w:pPr>
        <w:pStyle w:val="ListParagraph"/>
        <w:numPr>
          <w:ilvl w:val="1"/>
          <w:numId w:val="3"/>
        </w:numPr>
        <w:rPr>
          <w:rFonts w:cstheme="minorHAnsi"/>
        </w:rPr>
      </w:pPr>
      <w:r w:rsidRPr="00040285">
        <w:rPr>
          <w:rFonts w:cstheme="minorHAnsi"/>
        </w:rPr>
        <w:t xml:space="preserve">McGill University expects supervisors to maintain a </w:t>
      </w:r>
      <w:r w:rsidRPr="00040285">
        <w:rPr>
          <w:rFonts w:cstheme="minorHAnsi"/>
          <w:b/>
          <w:bCs/>
        </w:rPr>
        <w:t>research environment free from sexual violence, harassment, and discrimination.</w:t>
      </w:r>
      <w:r w:rsidRPr="00040285">
        <w:rPr>
          <w:rFonts w:cstheme="minorHAnsi"/>
        </w:rPr>
        <w:t xml:space="preserve"> </w:t>
      </w:r>
    </w:p>
    <w:p w14:paraId="73F08DCB" w14:textId="77777777" w:rsidR="00775BDB" w:rsidRPr="00040285" w:rsidRDefault="00775BDB" w:rsidP="00775BDB">
      <w:pPr>
        <w:pStyle w:val="ListParagraph"/>
        <w:ind w:left="1546"/>
        <w:rPr>
          <w:rFonts w:cstheme="minorHAnsi"/>
        </w:rPr>
      </w:pPr>
    </w:p>
    <w:p w14:paraId="6E7C99EE" w14:textId="77777777" w:rsidR="00775BDB" w:rsidRPr="00040285" w:rsidRDefault="00775BDB" w:rsidP="00775BDB">
      <w:pPr>
        <w:ind w:firstLine="720"/>
        <w:contextualSpacing/>
        <w:rPr>
          <w:rFonts w:cstheme="minorHAnsi"/>
          <w:u w:val="single"/>
        </w:rPr>
      </w:pPr>
      <w:r w:rsidRPr="00040285">
        <w:rPr>
          <w:rFonts w:cstheme="minorHAnsi"/>
          <w:u w:val="single"/>
        </w:rPr>
        <w:t xml:space="preserve">Policy Resources: </w:t>
      </w:r>
    </w:p>
    <w:p w14:paraId="3D2A42F6" w14:textId="77777777" w:rsidR="00775BDB" w:rsidRPr="00F67887" w:rsidRDefault="00775BDB" w:rsidP="00775BDB">
      <w:pPr>
        <w:contextualSpacing/>
        <w:rPr>
          <w:rFonts w:cstheme="minorHAnsi"/>
          <w:sz w:val="18"/>
          <w:szCs w:val="18"/>
        </w:rPr>
      </w:pPr>
    </w:p>
    <w:p w14:paraId="1957A8D1" w14:textId="77777777" w:rsidR="00775BDB" w:rsidRPr="00F67887" w:rsidRDefault="003268D3" w:rsidP="00775BDB">
      <w:pPr>
        <w:pStyle w:val="ListParagraph"/>
        <w:numPr>
          <w:ilvl w:val="0"/>
          <w:numId w:val="11"/>
        </w:numPr>
        <w:ind w:left="1080"/>
        <w:rPr>
          <w:rStyle w:val="Hyperlink"/>
          <w:rFonts w:cstheme="minorHAnsi"/>
        </w:rPr>
      </w:pPr>
      <w:hyperlink r:id="rId18" w:history="1">
        <w:r w:rsidR="00775BDB" w:rsidRPr="00040285">
          <w:rPr>
            <w:rStyle w:val="Hyperlink"/>
            <w:rFonts w:cstheme="minorHAnsi"/>
          </w:rPr>
          <w:t>Policy on Harassment and Discrimination</w:t>
        </w:r>
      </w:hyperlink>
    </w:p>
    <w:p w14:paraId="52F41E69" w14:textId="77777777" w:rsidR="00775BDB" w:rsidRPr="00040285" w:rsidRDefault="003268D3" w:rsidP="00775BDB">
      <w:pPr>
        <w:pStyle w:val="ListParagraph"/>
        <w:numPr>
          <w:ilvl w:val="0"/>
          <w:numId w:val="11"/>
        </w:numPr>
        <w:ind w:left="1080"/>
        <w:rPr>
          <w:rStyle w:val="Hyperlink"/>
          <w:rFonts w:cstheme="minorHAnsi"/>
          <w:sz w:val="21"/>
          <w:szCs w:val="21"/>
        </w:rPr>
      </w:pPr>
      <w:hyperlink r:id="rId19" w:history="1">
        <w:r w:rsidR="00775BDB" w:rsidRPr="00040285">
          <w:rPr>
            <w:rStyle w:val="Hyperlink"/>
            <w:rFonts w:cstheme="minorHAnsi"/>
          </w:rPr>
          <w:t>Policy against Sexual Violence</w:t>
        </w:r>
      </w:hyperlink>
      <w:r w:rsidR="00775BDB" w:rsidRPr="00040285">
        <w:rPr>
          <w:rFonts w:cstheme="minorHAnsi"/>
          <w:sz w:val="21"/>
          <w:szCs w:val="21"/>
        </w:rPr>
        <w:t xml:space="preserve"> </w:t>
      </w:r>
      <w:r w:rsidR="00775BDB" w:rsidRPr="00040285">
        <w:rPr>
          <w:rFonts w:cstheme="minorHAnsi"/>
          <w:sz w:val="21"/>
          <w:szCs w:val="21"/>
        </w:rPr>
        <w:br/>
      </w:r>
    </w:p>
    <w:p w14:paraId="7A3F7CBB" w14:textId="77777777" w:rsidR="00775BDB" w:rsidRPr="00040285" w:rsidRDefault="00775BDB" w:rsidP="00775BDB">
      <w:pPr>
        <w:pStyle w:val="ListParagraph"/>
        <w:numPr>
          <w:ilvl w:val="1"/>
          <w:numId w:val="3"/>
        </w:numPr>
        <w:rPr>
          <w:rFonts w:cstheme="minorHAnsi"/>
        </w:rPr>
      </w:pPr>
      <w:r w:rsidRPr="00040285">
        <w:rPr>
          <w:rFonts w:cstheme="minorHAnsi"/>
        </w:rPr>
        <w:t xml:space="preserve">If </w:t>
      </w:r>
      <w:r>
        <w:rPr>
          <w:rFonts w:cstheme="minorHAnsi"/>
        </w:rPr>
        <w:t>a supervisor</w:t>
      </w:r>
      <w:r w:rsidRPr="00040285">
        <w:rPr>
          <w:rFonts w:cstheme="minorHAnsi"/>
        </w:rPr>
        <w:t xml:space="preserve"> observe</w:t>
      </w:r>
      <w:r>
        <w:rPr>
          <w:rFonts w:cstheme="minorHAnsi"/>
        </w:rPr>
        <w:t>s</w:t>
      </w:r>
      <w:r w:rsidRPr="00040285">
        <w:rPr>
          <w:rFonts w:cstheme="minorHAnsi"/>
        </w:rPr>
        <w:t xml:space="preserve"> </w:t>
      </w:r>
      <w:proofErr w:type="spellStart"/>
      <w:r w:rsidRPr="00040285">
        <w:rPr>
          <w:rFonts w:cstheme="minorHAnsi"/>
        </w:rPr>
        <w:t>behaviour</w:t>
      </w:r>
      <w:proofErr w:type="spellEnd"/>
      <w:r w:rsidRPr="00040285">
        <w:rPr>
          <w:rFonts w:cstheme="minorHAnsi"/>
        </w:rPr>
        <w:t xml:space="preserve"> that might constitute sexual violence, harassment, or discrimination,</w:t>
      </w:r>
      <w:r w:rsidRPr="00040285">
        <w:rPr>
          <w:rFonts w:cstheme="minorHAnsi"/>
          <w:b/>
          <w:bCs/>
        </w:rPr>
        <w:t xml:space="preserve"> </w:t>
      </w:r>
      <w:r>
        <w:rPr>
          <w:rFonts w:cstheme="minorHAnsi"/>
          <w:b/>
          <w:bCs/>
        </w:rPr>
        <w:t xml:space="preserve">they must </w:t>
      </w:r>
      <w:r w:rsidRPr="00040285">
        <w:rPr>
          <w:rFonts w:cstheme="minorHAnsi"/>
          <w:b/>
          <w:bCs/>
        </w:rPr>
        <w:t xml:space="preserve">consult the </w:t>
      </w:r>
      <w:hyperlink r:id="rId20" w:history="1">
        <w:r w:rsidRPr="00040285">
          <w:rPr>
            <w:rStyle w:val="Hyperlink"/>
            <w:rFonts w:cstheme="minorHAnsi"/>
            <w:b/>
            <w:bCs/>
          </w:rPr>
          <w:t>Office for Mediation and Reporting</w:t>
        </w:r>
      </w:hyperlink>
      <w:r w:rsidRPr="00040285">
        <w:rPr>
          <w:rFonts w:cstheme="minorHAnsi"/>
          <w:b/>
          <w:bCs/>
        </w:rPr>
        <w:t xml:space="preserve"> or the </w:t>
      </w:r>
      <w:hyperlink r:id="rId21" w:history="1">
        <w:r w:rsidRPr="00040285">
          <w:rPr>
            <w:rStyle w:val="Hyperlink"/>
            <w:rFonts w:cstheme="minorHAnsi"/>
            <w:b/>
            <w:bCs/>
          </w:rPr>
          <w:t>Office of the Dean of Students</w:t>
        </w:r>
      </w:hyperlink>
      <w:r w:rsidRPr="00040285">
        <w:rPr>
          <w:rFonts w:cstheme="minorHAnsi"/>
          <w:b/>
          <w:bCs/>
        </w:rPr>
        <w:t xml:space="preserve"> to determine how to proceed.</w:t>
      </w:r>
      <w:r w:rsidRPr="00040285">
        <w:rPr>
          <w:rFonts w:cstheme="minorHAnsi"/>
        </w:rPr>
        <w:t xml:space="preserve"> </w:t>
      </w:r>
    </w:p>
    <w:p w14:paraId="70A102EC" w14:textId="77777777" w:rsidR="00775BDB" w:rsidRPr="00040285" w:rsidRDefault="00775BDB" w:rsidP="00775BDB">
      <w:pPr>
        <w:pStyle w:val="ListParagraph"/>
        <w:rPr>
          <w:rFonts w:cstheme="minorHAnsi"/>
        </w:rPr>
      </w:pPr>
    </w:p>
    <w:p w14:paraId="6BFA14A3" w14:textId="77777777" w:rsidR="00775BDB" w:rsidRPr="00040285" w:rsidRDefault="00775BDB" w:rsidP="00775BDB">
      <w:pPr>
        <w:pStyle w:val="ListParagraph"/>
        <w:numPr>
          <w:ilvl w:val="0"/>
          <w:numId w:val="8"/>
        </w:numPr>
        <w:rPr>
          <w:rFonts w:cstheme="minorHAnsi"/>
        </w:rPr>
      </w:pPr>
      <w:r>
        <w:rPr>
          <w:rFonts w:cstheme="minorHAnsi"/>
        </w:rPr>
        <w:t>Faculty should</w:t>
      </w:r>
      <w:r w:rsidRPr="00040285">
        <w:rPr>
          <w:rFonts w:cstheme="minorHAnsi"/>
        </w:rPr>
        <w:t xml:space="preserve"> not assume that problems between supervise</w:t>
      </w:r>
      <w:r>
        <w:rPr>
          <w:rFonts w:cstheme="minorHAnsi"/>
        </w:rPr>
        <w:t xml:space="preserve">es </w:t>
      </w:r>
      <w:r w:rsidRPr="00040285">
        <w:rPr>
          <w:rFonts w:cstheme="minorHAnsi"/>
        </w:rPr>
        <w:t xml:space="preserve">in a lab setting will resolve on their own. Faculty and staff have a shared responsibility to ensure </w:t>
      </w:r>
      <w:r>
        <w:rPr>
          <w:rFonts w:cstheme="minorHAnsi"/>
        </w:rPr>
        <w:t>supervisees</w:t>
      </w:r>
      <w:r w:rsidRPr="00040285">
        <w:rPr>
          <w:rFonts w:cstheme="minorHAnsi"/>
        </w:rPr>
        <w:t xml:space="preserve"> can learn in environments where they are respected and free from pejorative or offensive acts and comments.</w:t>
      </w:r>
      <w:r>
        <w:rPr>
          <w:rFonts w:cstheme="minorHAnsi"/>
        </w:rPr>
        <w:t xml:space="preserve"> Trained professionals in the OMR and Office of the Dean of Students are available to support faculty and staff as well as students. </w:t>
      </w:r>
    </w:p>
    <w:p w14:paraId="73F6A99F" w14:textId="77777777" w:rsidR="00775BDB" w:rsidRPr="00F67887" w:rsidRDefault="00775BDB" w:rsidP="00775BDB">
      <w:pPr>
        <w:rPr>
          <w:rFonts w:cstheme="minorHAnsi"/>
        </w:rPr>
      </w:pPr>
    </w:p>
    <w:p w14:paraId="58D63511" w14:textId="77777777" w:rsidR="00775BDB" w:rsidRPr="00040285" w:rsidRDefault="00775BDB" w:rsidP="00775BDB">
      <w:pPr>
        <w:pStyle w:val="ListParagraph"/>
        <w:numPr>
          <w:ilvl w:val="1"/>
          <w:numId w:val="3"/>
        </w:numPr>
        <w:rPr>
          <w:rFonts w:cstheme="minorHAnsi"/>
        </w:rPr>
      </w:pPr>
      <w:r w:rsidRPr="00040285">
        <w:rPr>
          <w:rFonts w:cstheme="minorHAnsi"/>
        </w:rPr>
        <w:t xml:space="preserve">Supervisors, as representatives of McGill University acting in an official capacity, </w:t>
      </w:r>
      <w:r w:rsidRPr="00040285">
        <w:rPr>
          <w:rFonts w:cstheme="minorHAnsi"/>
          <w:b/>
          <w:bCs/>
        </w:rPr>
        <w:t>have a responsibility to uphold students’ rights,</w:t>
      </w:r>
      <w:r w:rsidRPr="00040285">
        <w:rPr>
          <w:rFonts w:cstheme="minorHAnsi"/>
        </w:rPr>
        <w:t xml:space="preserve"> as explained in </w:t>
      </w:r>
      <w:hyperlink r:id="rId22" w:history="1">
        <w:r w:rsidRPr="00040285">
          <w:rPr>
            <w:rStyle w:val="Hyperlink"/>
            <w:rFonts w:cstheme="minorHAnsi"/>
          </w:rPr>
          <w:t>Charter of Students’ Rights, Article 3:</w:t>
        </w:r>
      </w:hyperlink>
      <w:r w:rsidRPr="00040285">
        <w:rPr>
          <w:rFonts w:cstheme="minorHAnsi"/>
        </w:rPr>
        <w:t xml:space="preserve"> </w:t>
      </w:r>
      <w:r w:rsidRPr="00040285">
        <w:rPr>
          <w:rFonts w:cstheme="minorHAnsi"/>
        </w:rPr>
        <w:br/>
      </w:r>
    </w:p>
    <w:p w14:paraId="2CBEB434" w14:textId="77777777" w:rsidR="00775BDB" w:rsidRPr="00040285" w:rsidRDefault="00775BDB" w:rsidP="00775BDB">
      <w:pPr>
        <w:pStyle w:val="ListParagraph"/>
        <w:numPr>
          <w:ilvl w:val="0"/>
          <w:numId w:val="9"/>
        </w:numPr>
        <w:rPr>
          <w:rFonts w:cstheme="minorHAnsi"/>
        </w:rPr>
      </w:pPr>
      <w:r w:rsidRPr="00040285">
        <w:rPr>
          <w:rFonts w:cstheme="minorHAnsi"/>
        </w:rPr>
        <w:t xml:space="preserve">“Every student has a right to the safeguard of [their] dignity and a right to be protected by the University against vexatious conduct displayed by a representative of the University acting in an official capacity”. </w:t>
      </w:r>
    </w:p>
    <w:p w14:paraId="2B13FF5D" w14:textId="77777777" w:rsidR="00775BDB" w:rsidRPr="00040285" w:rsidRDefault="00775BDB" w:rsidP="00775BDB">
      <w:pPr>
        <w:pStyle w:val="ListParagraph"/>
        <w:ind w:left="1080"/>
        <w:rPr>
          <w:rFonts w:cstheme="minorHAnsi"/>
        </w:rPr>
      </w:pPr>
    </w:p>
    <w:p w14:paraId="39386FC6" w14:textId="77777777" w:rsidR="00775BDB" w:rsidRPr="00040285" w:rsidRDefault="00775BDB" w:rsidP="00775BDB">
      <w:pPr>
        <w:pStyle w:val="ListParagraph"/>
        <w:numPr>
          <w:ilvl w:val="0"/>
          <w:numId w:val="9"/>
        </w:numPr>
        <w:rPr>
          <w:rFonts w:cstheme="minorHAnsi"/>
        </w:rPr>
      </w:pPr>
      <w:r w:rsidRPr="00040285">
        <w:rPr>
          <w:rFonts w:cstheme="minorHAnsi"/>
        </w:rPr>
        <w:t xml:space="preserve">Supervisors have a duty to accommodate on the grounds of disability and religious belief. In some cases, there might also be a duty to accommodate on the basis of dependent care responsibilities. If you have any uncertainty about what constitutes a reasonable accommodation in a given situation you may contact the Office of the Dean of Students (in all cases) or </w:t>
      </w:r>
      <w:r>
        <w:rPr>
          <w:rFonts w:cstheme="minorHAnsi"/>
        </w:rPr>
        <w:t xml:space="preserve">Student Accessibility &amp; Achievement </w:t>
      </w:r>
      <w:r w:rsidRPr="00040285">
        <w:rPr>
          <w:rFonts w:cstheme="minorHAnsi"/>
        </w:rPr>
        <w:t>(in situations involving students with disabilities)</w:t>
      </w:r>
      <w:r w:rsidRPr="00040285">
        <w:rPr>
          <w:rFonts w:cstheme="minorHAnsi"/>
        </w:rPr>
        <w:br/>
      </w:r>
    </w:p>
    <w:p w14:paraId="4524C25D" w14:textId="77777777" w:rsidR="00775BDB" w:rsidRPr="00040285" w:rsidRDefault="00775BDB" w:rsidP="00775BDB">
      <w:pPr>
        <w:ind w:firstLine="720"/>
        <w:rPr>
          <w:rFonts w:cstheme="minorHAnsi"/>
          <w:u w:val="single"/>
        </w:rPr>
      </w:pPr>
      <w:r w:rsidRPr="00040285">
        <w:rPr>
          <w:rFonts w:cstheme="minorHAnsi"/>
          <w:u w:val="single"/>
        </w:rPr>
        <w:t xml:space="preserve">Policy Resources: </w:t>
      </w:r>
    </w:p>
    <w:p w14:paraId="2E4155E8" w14:textId="77777777" w:rsidR="00775BDB" w:rsidRPr="00F67887" w:rsidRDefault="00775BDB" w:rsidP="00775BDB">
      <w:pPr>
        <w:rPr>
          <w:rFonts w:cstheme="minorHAnsi"/>
          <w:sz w:val="18"/>
          <w:szCs w:val="18"/>
        </w:rPr>
      </w:pPr>
    </w:p>
    <w:p w14:paraId="1B89833E" w14:textId="77777777" w:rsidR="00775BDB" w:rsidRPr="00F67887" w:rsidRDefault="003268D3" w:rsidP="00775BDB">
      <w:pPr>
        <w:pStyle w:val="ListParagraph"/>
        <w:numPr>
          <w:ilvl w:val="0"/>
          <w:numId w:val="11"/>
        </w:numPr>
        <w:ind w:left="1080"/>
        <w:rPr>
          <w:rStyle w:val="Hyperlink"/>
          <w:rFonts w:cstheme="minorHAnsi"/>
        </w:rPr>
      </w:pPr>
      <w:hyperlink r:id="rId23" w:history="1">
        <w:r w:rsidR="00775BDB" w:rsidRPr="00F67887">
          <w:rPr>
            <w:rStyle w:val="Hyperlink"/>
            <w:rFonts w:cstheme="minorHAnsi"/>
          </w:rPr>
          <w:t>Policy</w:t>
        </w:r>
      </w:hyperlink>
      <w:r w:rsidR="00775BDB" w:rsidRPr="00F67887">
        <w:rPr>
          <w:rStyle w:val="Hyperlink"/>
          <w:rFonts w:cstheme="minorHAnsi"/>
        </w:rPr>
        <w:t xml:space="preserve"> Concerning the Rights of Students with Disabilities</w:t>
      </w:r>
    </w:p>
    <w:p w14:paraId="057CB2D3" w14:textId="77777777" w:rsidR="00775BDB" w:rsidRPr="00040285" w:rsidRDefault="003268D3" w:rsidP="00775BDB">
      <w:pPr>
        <w:pStyle w:val="ListParagraph"/>
        <w:numPr>
          <w:ilvl w:val="0"/>
          <w:numId w:val="11"/>
        </w:numPr>
        <w:ind w:left="1080"/>
        <w:rPr>
          <w:rFonts w:cstheme="minorHAnsi"/>
        </w:rPr>
      </w:pPr>
      <w:hyperlink r:id="rId24" w:history="1">
        <w:r w:rsidR="00775BDB" w:rsidRPr="00040285">
          <w:rPr>
            <w:rStyle w:val="Hyperlink"/>
            <w:rFonts w:cstheme="minorHAnsi"/>
          </w:rPr>
          <w:t>Policy on Holy Days</w:t>
        </w:r>
      </w:hyperlink>
      <w:r w:rsidR="00775BDB" w:rsidRPr="00040285">
        <w:rPr>
          <w:rFonts w:cstheme="minorHAnsi"/>
          <w:sz w:val="21"/>
          <w:szCs w:val="21"/>
        </w:rPr>
        <w:t xml:space="preserve"> </w:t>
      </w:r>
      <w:r w:rsidR="00775BDB" w:rsidRPr="00040285">
        <w:rPr>
          <w:rFonts w:cstheme="minorHAnsi"/>
          <w:sz w:val="21"/>
          <w:szCs w:val="21"/>
        </w:rPr>
        <w:br/>
      </w:r>
    </w:p>
    <w:p w14:paraId="1BE4FF34" w14:textId="77777777" w:rsidR="00775BDB" w:rsidRPr="00040285" w:rsidRDefault="00775BDB" w:rsidP="00775BDB">
      <w:pPr>
        <w:pStyle w:val="ListParagraph"/>
        <w:numPr>
          <w:ilvl w:val="1"/>
          <w:numId w:val="3"/>
        </w:numPr>
        <w:rPr>
          <w:rFonts w:cstheme="minorHAnsi"/>
          <w:strike/>
        </w:rPr>
      </w:pPr>
      <w:r w:rsidRPr="00040285">
        <w:rPr>
          <w:rFonts w:cstheme="minorHAnsi"/>
        </w:rPr>
        <w:t xml:space="preserve">Supervisors’ words carry weight for supervisees. Offhand comments spoken in moments of frustration can leave supervisees doubting whether they can trust a supervisor to assess work fairly and equitably support supervises’ research and wellbeing. </w:t>
      </w:r>
      <w:r>
        <w:rPr>
          <w:rFonts w:cstheme="minorHAnsi"/>
        </w:rPr>
        <w:t>It is important for supervisors to k</w:t>
      </w:r>
      <w:r w:rsidRPr="00A177F1">
        <w:rPr>
          <w:rFonts w:cstheme="minorHAnsi"/>
        </w:rPr>
        <w:t xml:space="preserve">eep the power differential in mind when speaking with </w:t>
      </w:r>
      <w:r>
        <w:rPr>
          <w:rFonts w:cstheme="minorHAnsi"/>
        </w:rPr>
        <w:t>supervisees and refrain from</w:t>
      </w:r>
      <w:r w:rsidRPr="00A177F1">
        <w:rPr>
          <w:rFonts w:cstheme="minorHAnsi"/>
        </w:rPr>
        <w:t xml:space="preserve"> mock</w:t>
      </w:r>
      <w:r>
        <w:rPr>
          <w:rFonts w:cstheme="minorHAnsi"/>
        </w:rPr>
        <w:t>ing</w:t>
      </w:r>
      <w:r w:rsidRPr="00A177F1">
        <w:rPr>
          <w:rFonts w:cstheme="minorHAnsi"/>
        </w:rPr>
        <w:t>, insult</w:t>
      </w:r>
      <w:r>
        <w:rPr>
          <w:rFonts w:cstheme="minorHAnsi"/>
        </w:rPr>
        <w:t>ing</w:t>
      </w:r>
      <w:r w:rsidRPr="00A177F1">
        <w:rPr>
          <w:rFonts w:cstheme="minorHAnsi"/>
        </w:rPr>
        <w:t>, or undermin</w:t>
      </w:r>
      <w:r>
        <w:rPr>
          <w:rFonts w:cstheme="minorHAnsi"/>
        </w:rPr>
        <w:t>ing</w:t>
      </w:r>
      <w:r w:rsidRPr="00A177F1">
        <w:rPr>
          <w:rFonts w:cstheme="minorHAnsi"/>
        </w:rPr>
        <w:t xml:space="preserve"> </w:t>
      </w:r>
      <w:r>
        <w:rPr>
          <w:rFonts w:cstheme="minorHAnsi"/>
        </w:rPr>
        <w:t>language</w:t>
      </w:r>
      <w:r w:rsidRPr="00A177F1">
        <w:rPr>
          <w:rFonts w:cstheme="minorHAnsi"/>
        </w:rPr>
        <w:t>.</w:t>
      </w:r>
    </w:p>
    <w:p w14:paraId="3B1F2A5C" w14:textId="77777777" w:rsidR="00775BDB" w:rsidRPr="00040285" w:rsidRDefault="00775BDB" w:rsidP="00775BDB">
      <w:pPr>
        <w:pStyle w:val="ListParagraph"/>
        <w:rPr>
          <w:rFonts w:cstheme="minorHAnsi"/>
        </w:rPr>
      </w:pPr>
    </w:p>
    <w:p w14:paraId="35A8D54D" w14:textId="77777777" w:rsidR="00775BDB" w:rsidRPr="00040285" w:rsidRDefault="00775BDB" w:rsidP="00775BDB">
      <w:pPr>
        <w:pStyle w:val="ListParagraph"/>
        <w:numPr>
          <w:ilvl w:val="1"/>
          <w:numId w:val="3"/>
        </w:numPr>
        <w:rPr>
          <w:rFonts w:cstheme="minorHAnsi"/>
        </w:rPr>
      </w:pPr>
      <w:r w:rsidRPr="00040285">
        <w:rPr>
          <w:rFonts w:cstheme="minorHAnsi"/>
          <w:b/>
          <w:bCs/>
        </w:rPr>
        <w:t>Supervisors, as members of the University, have the right to work in a respectful and professional research environment.</w:t>
      </w:r>
      <w:r w:rsidRPr="00040285">
        <w:rPr>
          <w:rFonts w:cstheme="minorHAnsi"/>
        </w:rPr>
        <w:t xml:space="preserve"> </w:t>
      </w:r>
      <w:hyperlink r:id="rId25" w:history="1">
        <w:r w:rsidRPr="00040285">
          <w:rPr>
            <w:rStyle w:val="Hyperlink"/>
            <w:rFonts w:cstheme="minorHAnsi"/>
          </w:rPr>
          <w:t>The Code of Student Conduct and Disciplinary Procedures</w:t>
        </w:r>
      </w:hyperlink>
      <w:r w:rsidRPr="00040285">
        <w:rPr>
          <w:rFonts w:cstheme="minorHAnsi"/>
        </w:rPr>
        <w:t xml:space="preserve"> holds that no student shall in a university context: </w:t>
      </w:r>
    </w:p>
    <w:p w14:paraId="290BC88F" w14:textId="77777777" w:rsidR="00775BDB" w:rsidRPr="00040285" w:rsidRDefault="00775BDB" w:rsidP="00775BDB">
      <w:pPr>
        <w:pStyle w:val="ListParagraph"/>
        <w:rPr>
          <w:rFonts w:cstheme="minorHAnsi"/>
        </w:rPr>
      </w:pPr>
    </w:p>
    <w:p w14:paraId="4419EAC5" w14:textId="77777777" w:rsidR="00775BDB" w:rsidRPr="00040285" w:rsidRDefault="00775BDB" w:rsidP="00775BDB">
      <w:pPr>
        <w:pStyle w:val="ListParagraph"/>
        <w:numPr>
          <w:ilvl w:val="0"/>
          <w:numId w:val="9"/>
        </w:numPr>
        <w:rPr>
          <w:rFonts w:cstheme="minorHAnsi"/>
        </w:rPr>
      </w:pPr>
      <w:r w:rsidRPr="00040285">
        <w:rPr>
          <w:rFonts w:cstheme="minorHAnsi"/>
        </w:rPr>
        <w:t xml:space="preserve">“Knowingly create a condition that unnecessarily endangers or threatens or undermines the health, safety, well-being, or dignity of another person or persons, threatens to cause </w:t>
      </w:r>
      <w:r w:rsidRPr="00040285">
        <w:rPr>
          <w:rFonts w:cstheme="minorHAnsi"/>
        </w:rPr>
        <w:lastRenderedPageBreak/>
        <w:t xml:space="preserve">humiliation, or threatens the damage or destruction of property” </w:t>
      </w:r>
      <w:r w:rsidRPr="00040285">
        <w:rPr>
          <w:rFonts w:cstheme="minorHAnsi"/>
        </w:rPr>
        <w:br/>
      </w:r>
    </w:p>
    <w:p w14:paraId="315052B9" w14:textId="77777777" w:rsidR="00775BDB" w:rsidRPr="00F67887" w:rsidRDefault="00775BDB" w:rsidP="00775BDB">
      <w:pPr>
        <w:pStyle w:val="ListParagraph"/>
        <w:ind w:left="1134" w:hanging="425"/>
        <w:rPr>
          <w:rFonts w:cstheme="minorHAnsi"/>
          <w:sz w:val="18"/>
          <w:szCs w:val="18"/>
          <w:u w:val="single"/>
        </w:rPr>
      </w:pPr>
      <w:r w:rsidRPr="00040285">
        <w:rPr>
          <w:rFonts w:cstheme="minorHAnsi"/>
          <w:u w:val="single"/>
        </w:rPr>
        <w:t>Resources:</w:t>
      </w:r>
      <w:r w:rsidRPr="00040285">
        <w:rPr>
          <w:rFonts w:cstheme="minorHAnsi"/>
          <w:u w:val="single"/>
        </w:rPr>
        <w:br/>
        <w:t xml:space="preserve"> </w:t>
      </w:r>
    </w:p>
    <w:p w14:paraId="71823DCC" w14:textId="77777777" w:rsidR="00775BDB" w:rsidRPr="00040285" w:rsidRDefault="00775BDB" w:rsidP="00775BDB">
      <w:pPr>
        <w:pStyle w:val="ListParagraph"/>
        <w:numPr>
          <w:ilvl w:val="0"/>
          <w:numId w:val="4"/>
        </w:numPr>
        <w:ind w:left="1134" w:hanging="283"/>
        <w:rPr>
          <w:rFonts w:cstheme="minorHAnsi"/>
        </w:rPr>
      </w:pPr>
      <w:r w:rsidRPr="00040285">
        <w:rPr>
          <w:rFonts w:cstheme="minorHAnsi"/>
          <w:b/>
          <w:bCs/>
        </w:rPr>
        <w:t>Office of the Dean of Students:</w:t>
      </w:r>
      <w:r w:rsidRPr="00040285">
        <w:rPr>
          <w:rFonts w:cstheme="minorHAnsi"/>
        </w:rPr>
        <w:t xml:space="preserve"> Supervisors are encouraged to talk to the Dean of Students’ office when a student or supervisee </w:t>
      </w:r>
      <w:hyperlink r:id="rId26" w:history="1">
        <w:r w:rsidRPr="00040285">
          <w:rPr>
            <w:rStyle w:val="Hyperlink"/>
            <w:rFonts w:cstheme="minorHAnsi"/>
          </w:rPr>
          <w:t xml:space="preserve">exhibits worrisome </w:t>
        </w:r>
        <w:proofErr w:type="spellStart"/>
        <w:r w:rsidRPr="00040285">
          <w:rPr>
            <w:rStyle w:val="Hyperlink"/>
            <w:rFonts w:cstheme="minorHAnsi"/>
          </w:rPr>
          <w:t>behaviour</w:t>
        </w:r>
        <w:proofErr w:type="spellEnd"/>
      </w:hyperlink>
      <w:r w:rsidRPr="00040285">
        <w:rPr>
          <w:rFonts w:cstheme="minorHAnsi"/>
        </w:rPr>
        <w:t xml:space="preserve">, including dangerous, threatening, disruptive, or uncharacteristic </w:t>
      </w:r>
      <w:proofErr w:type="spellStart"/>
      <w:r w:rsidRPr="00040285">
        <w:rPr>
          <w:rFonts w:cstheme="minorHAnsi"/>
        </w:rPr>
        <w:t>behaviour</w:t>
      </w:r>
      <w:proofErr w:type="spellEnd"/>
      <w:r w:rsidRPr="00040285">
        <w:rPr>
          <w:rFonts w:cstheme="minorHAnsi"/>
        </w:rPr>
        <w:t xml:space="preserve">. See the </w:t>
      </w:r>
      <w:hyperlink r:id="rId27" w:history="1">
        <w:r w:rsidRPr="00040285">
          <w:rPr>
            <w:rStyle w:val="Hyperlink"/>
            <w:rFonts w:cstheme="minorHAnsi"/>
          </w:rPr>
          <w:t>Red File</w:t>
        </w:r>
      </w:hyperlink>
      <w:r w:rsidRPr="00040285">
        <w:rPr>
          <w:rFonts w:cstheme="minorHAnsi"/>
        </w:rPr>
        <w:t xml:space="preserve"> for guidance.</w:t>
      </w:r>
    </w:p>
    <w:p w14:paraId="2C89BCF6" w14:textId="77777777" w:rsidR="00775BDB" w:rsidRPr="00040285" w:rsidRDefault="00775BDB" w:rsidP="00775BDB">
      <w:pPr>
        <w:pStyle w:val="ListParagraph"/>
        <w:ind w:left="1546"/>
        <w:rPr>
          <w:rFonts w:cstheme="minorHAnsi"/>
        </w:rPr>
      </w:pPr>
    </w:p>
    <w:p w14:paraId="3B22FAF7" w14:textId="77777777" w:rsidR="00775BDB" w:rsidRDefault="00775BDB" w:rsidP="00775BDB">
      <w:pPr>
        <w:pStyle w:val="ListParagraph"/>
        <w:numPr>
          <w:ilvl w:val="1"/>
          <w:numId w:val="3"/>
        </w:numPr>
        <w:rPr>
          <w:rFonts w:cstheme="minorHAnsi"/>
        </w:rPr>
      </w:pPr>
      <w:r>
        <w:rPr>
          <w:rFonts w:cstheme="minorHAnsi"/>
          <w:b/>
          <w:bCs/>
        </w:rPr>
        <w:t>Supervisors and supervisees must a</w:t>
      </w:r>
      <w:r w:rsidRPr="00040285">
        <w:rPr>
          <w:rFonts w:cstheme="minorHAnsi"/>
          <w:b/>
          <w:bCs/>
        </w:rPr>
        <w:t>void conflicts of interest</w:t>
      </w:r>
      <w:r w:rsidRPr="00040285">
        <w:rPr>
          <w:rFonts w:cstheme="minorHAnsi"/>
        </w:rPr>
        <w:t xml:space="preserve">, and if one should arise, speak to a department chair or director to implement measures to properly address the conflict of interest. </w:t>
      </w:r>
      <w:r>
        <w:rPr>
          <w:rFonts w:cstheme="minorHAnsi"/>
        </w:rPr>
        <w:t>For supervisors, t</w:t>
      </w:r>
      <w:r w:rsidRPr="00040285">
        <w:rPr>
          <w:rFonts w:cstheme="minorHAnsi"/>
        </w:rPr>
        <w:t xml:space="preserve">his means ensuring that </w:t>
      </w:r>
      <w:r>
        <w:rPr>
          <w:rFonts w:cstheme="minorHAnsi"/>
        </w:rPr>
        <w:t>supervisees</w:t>
      </w:r>
      <w:r w:rsidRPr="00040285">
        <w:rPr>
          <w:rFonts w:cstheme="minorHAnsi"/>
        </w:rPr>
        <w:t xml:space="preserve"> are equitably treated (i.e., avoid steps or measures that might be perceived as partiality, favoritism, or bias) and that relationships with </w:t>
      </w:r>
      <w:r>
        <w:rPr>
          <w:rFonts w:cstheme="minorHAnsi"/>
        </w:rPr>
        <w:t>supervisees</w:t>
      </w:r>
      <w:r w:rsidRPr="00040285">
        <w:rPr>
          <w:rFonts w:cstheme="minorHAnsi"/>
        </w:rPr>
        <w:t xml:space="preserve"> are professional and </w:t>
      </w:r>
      <w:proofErr w:type="spellStart"/>
      <w:r w:rsidRPr="00040285">
        <w:rPr>
          <w:rFonts w:cstheme="minorHAnsi"/>
        </w:rPr>
        <w:t>centred</w:t>
      </w:r>
      <w:proofErr w:type="spellEnd"/>
      <w:r w:rsidRPr="00040285">
        <w:rPr>
          <w:rFonts w:cstheme="minorHAnsi"/>
        </w:rPr>
        <w:t xml:space="preserve"> on academic wellness. </w:t>
      </w:r>
      <w:r>
        <w:rPr>
          <w:rFonts w:cstheme="minorHAnsi"/>
        </w:rPr>
        <w:br/>
      </w:r>
    </w:p>
    <w:p w14:paraId="4802A827" w14:textId="77777777" w:rsidR="00775BDB" w:rsidRPr="00DF3F9B" w:rsidRDefault="00775BDB" w:rsidP="00775BDB">
      <w:pPr>
        <w:pStyle w:val="ListParagraph"/>
        <w:numPr>
          <w:ilvl w:val="1"/>
          <w:numId w:val="3"/>
        </w:numPr>
        <w:rPr>
          <w:rFonts w:cstheme="minorHAnsi"/>
        </w:rPr>
      </w:pPr>
      <w:r>
        <w:rPr>
          <w:rFonts w:cstheme="minorHAnsi"/>
        </w:rPr>
        <w:t xml:space="preserve">Following major conflicts, the best resolution may be to dissolve the supervisory relationship and have the graduate student continue under the supervision of another faculty member. It is critical for faculty to speak to both the Graduate Program Director and the Department Chair when considering whether this presents the best solution for all parties. When approached with a request for a transfer, faculty are expected to collaborate to ensure as smooth a transition as possible, </w:t>
      </w:r>
      <w:r w:rsidRPr="00DF3F9B">
        <w:rPr>
          <w:rFonts w:cstheme="minorHAnsi"/>
        </w:rPr>
        <w:t xml:space="preserve">clarifying what will happen to ongoing research, lab access, etc. </w:t>
      </w:r>
    </w:p>
    <w:p w14:paraId="28F9B284" w14:textId="77777777" w:rsidR="00775BDB" w:rsidRPr="00040285" w:rsidRDefault="00775BDB" w:rsidP="00775BDB">
      <w:pPr>
        <w:pStyle w:val="ListParagraph"/>
        <w:rPr>
          <w:rFonts w:cstheme="minorHAnsi"/>
        </w:rPr>
      </w:pPr>
    </w:p>
    <w:p w14:paraId="0E423D56" w14:textId="77777777" w:rsidR="00775BDB" w:rsidRPr="00040285" w:rsidRDefault="00775BDB" w:rsidP="00775BDB">
      <w:pPr>
        <w:pStyle w:val="ListParagraph"/>
        <w:numPr>
          <w:ilvl w:val="0"/>
          <w:numId w:val="3"/>
        </w:numPr>
        <w:rPr>
          <w:rFonts w:cstheme="minorHAnsi"/>
          <w:b/>
          <w:bCs/>
        </w:rPr>
      </w:pPr>
      <w:r w:rsidRPr="00040285">
        <w:rPr>
          <w:rFonts w:cstheme="minorHAnsi"/>
          <w:b/>
          <w:bCs/>
          <w:sz w:val="28"/>
          <w:szCs w:val="28"/>
        </w:rPr>
        <w:t xml:space="preserve"> Be present for and accountable to supervisees by maintaining clear communication channels. </w:t>
      </w:r>
      <w:r w:rsidRPr="00040285">
        <w:rPr>
          <w:rFonts w:cstheme="minorHAnsi"/>
          <w:b/>
          <w:bCs/>
        </w:rPr>
        <w:br/>
      </w:r>
    </w:p>
    <w:p w14:paraId="1E37B561" w14:textId="77777777" w:rsidR="00775BDB" w:rsidRPr="00040285" w:rsidRDefault="00775BDB" w:rsidP="00775BDB">
      <w:pPr>
        <w:pStyle w:val="ListParagraph"/>
        <w:numPr>
          <w:ilvl w:val="0"/>
          <w:numId w:val="5"/>
        </w:numPr>
        <w:rPr>
          <w:rFonts w:cstheme="minorHAnsi"/>
        </w:rPr>
      </w:pPr>
      <w:r w:rsidRPr="00040285">
        <w:rPr>
          <w:rFonts w:cstheme="minorHAnsi"/>
        </w:rPr>
        <w:t xml:space="preserve">Supervisors should meet regularly with supervisees, </w:t>
      </w:r>
      <w:proofErr w:type="spellStart"/>
      <w:r w:rsidRPr="00040285">
        <w:rPr>
          <w:rFonts w:cstheme="minorHAnsi"/>
        </w:rPr>
        <w:t>honouring</w:t>
      </w:r>
      <w:proofErr w:type="spellEnd"/>
      <w:r w:rsidRPr="00040285">
        <w:rPr>
          <w:rFonts w:cstheme="minorHAnsi"/>
        </w:rPr>
        <w:t xml:space="preserve"> the schedules agreed to in Letters of Understanding. </w:t>
      </w:r>
    </w:p>
    <w:p w14:paraId="5A36195C" w14:textId="77777777" w:rsidR="00775BDB" w:rsidRPr="00040285" w:rsidRDefault="00775BDB" w:rsidP="00775BDB">
      <w:pPr>
        <w:rPr>
          <w:rFonts w:cstheme="minorHAnsi"/>
        </w:rPr>
      </w:pPr>
    </w:p>
    <w:p w14:paraId="6877D76E" w14:textId="77777777" w:rsidR="00775BDB" w:rsidRPr="00040285" w:rsidRDefault="00775BDB" w:rsidP="00775BDB">
      <w:pPr>
        <w:pStyle w:val="ListParagraph"/>
        <w:numPr>
          <w:ilvl w:val="0"/>
          <w:numId w:val="5"/>
        </w:numPr>
        <w:rPr>
          <w:rFonts w:cstheme="minorHAnsi"/>
        </w:rPr>
      </w:pPr>
      <w:r>
        <w:rPr>
          <w:rFonts w:cstheme="minorHAnsi"/>
        </w:rPr>
        <w:t>Supervisors and supervisees should k</w:t>
      </w:r>
      <w:r w:rsidRPr="00040285">
        <w:rPr>
          <w:rFonts w:cstheme="minorHAnsi"/>
        </w:rPr>
        <w:t>eep shared written records when it comes to important decisions about research projects, funding, authorship, graduation timelines, etc.</w:t>
      </w:r>
      <w:r w:rsidRPr="00040285">
        <w:rPr>
          <w:rFonts w:cstheme="minorHAnsi"/>
        </w:rPr>
        <w:br/>
        <w:t xml:space="preserve"> </w:t>
      </w:r>
    </w:p>
    <w:p w14:paraId="58907E36" w14:textId="77777777" w:rsidR="00775BDB" w:rsidRPr="00405B78" w:rsidRDefault="00775BDB" w:rsidP="00775BDB">
      <w:pPr>
        <w:pStyle w:val="ListParagraph"/>
        <w:numPr>
          <w:ilvl w:val="8"/>
          <w:numId w:val="3"/>
        </w:numPr>
        <w:ind w:left="1134" w:hanging="425"/>
      </w:pPr>
      <w:r w:rsidRPr="00405B78">
        <w:t>Annual Progress reports provide a framework to give feedback on a student’s progress in writing and objectives for the following year in writing and represent a critical opportunity to indicate to students if their work is unsatisfactory.</w:t>
      </w:r>
      <w:r w:rsidRPr="00405B78">
        <w:br/>
      </w:r>
    </w:p>
    <w:p w14:paraId="3A46C2FF" w14:textId="77777777" w:rsidR="00775BDB" w:rsidRPr="00040285" w:rsidRDefault="00775BDB" w:rsidP="00775BDB">
      <w:pPr>
        <w:pStyle w:val="ListParagraph"/>
        <w:numPr>
          <w:ilvl w:val="0"/>
          <w:numId w:val="5"/>
        </w:numPr>
        <w:rPr>
          <w:rFonts w:cstheme="minorHAnsi"/>
        </w:rPr>
      </w:pPr>
      <w:r w:rsidRPr="00040285">
        <w:rPr>
          <w:rFonts w:cstheme="minorHAnsi"/>
        </w:rPr>
        <w:t xml:space="preserve">Supervisors must plan to ensure that </w:t>
      </w:r>
      <w:r>
        <w:rPr>
          <w:rFonts w:cstheme="minorHAnsi"/>
        </w:rPr>
        <w:t>graduate supervisees</w:t>
      </w:r>
      <w:r w:rsidRPr="00040285">
        <w:rPr>
          <w:rFonts w:cstheme="minorHAnsi"/>
        </w:rPr>
        <w:t xml:space="preserve"> have appropriate supervision during prolonged absences (e.g., sabbatical leaves). </w:t>
      </w:r>
    </w:p>
    <w:p w14:paraId="47B38142" w14:textId="77777777" w:rsidR="00775BDB" w:rsidRPr="00040285" w:rsidRDefault="00775BDB" w:rsidP="00775BDB">
      <w:pPr>
        <w:pStyle w:val="ListParagraph"/>
        <w:ind w:left="1134" w:hanging="414"/>
        <w:rPr>
          <w:rFonts w:cstheme="minorHAnsi"/>
        </w:rPr>
      </w:pPr>
    </w:p>
    <w:p w14:paraId="4C72ABE6" w14:textId="77777777" w:rsidR="00775BDB" w:rsidRPr="00040285" w:rsidRDefault="00775BDB" w:rsidP="00775BDB">
      <w:pPr>
        <w:pStyle w:val="ListParagraph"/>
        <w:numPr>
          <w:ilvl w:val="0"/>
          <w:numId w:val="10"/>
        </w:numPr>
        <w:rPr>
          <w:rFonts w:cstheme="minorHAnsi"/>
        </w:rPr>
      </w:pPr>
      <w:r w:rsidRPr="00040285">
        <w:rPr>
          <w:rFonts w:cstheme="minorHAnsi"/>
        </w:rPr>
        <w:t>Supervisors who are not planning to maintain regular communication with</w:t>
      </w:r>
      <w:r>
        <w:rPr>
          <w:rFonts w:cstheme="minorHAnsi"/>
        </w:rPr>
        <w:t xml:space="preserve"> supervised</w:t>
      </w:r>
      <w:r w:rsidRPr="00040285">
        <w:rPr>
          <w:rFonts w:cstheme="minorHAnsi"/>
        </w:rPr>
        <w:t xml:space="preserve"> students during a sabbatical or other leave should ensure supervisees have an appropriate interim supervisor (e.g., a committee member) who will stay in regular communication with the supervisee and ensure they progress. </w:t>
      </w:r>
    </w:p>
    <w:p w14:paraId="6639781C" w14:textId="77777777" w:rsidR="00775BDB" w:rsidRDefault="00775BDB" w:rsidP="00775BDB">
      <w:pPr>
        <w:rPr>
          <w:rFonts w:cstheme="minorHAnsi"/>
        </w:rPr>
      </w:pPr>
    </w:p>
    <w:p w14:paraId="45C1B70B" w14:textId="77777777" w:rsidR="00775BDB" w:rsidRPr="00040285" w:rsidRDefault="00775BDB" w:rsidP="00775BDB">
      <w:pPr>
        <w:rPr>
          <w:rFonts w:cstheme="minorHAnsi"/>
        </w:rPr>
      </w:pPr>
    </w:p>
    <w:p w14:paraId="3397F7EA" w14:textId="77777777" w:rsidR="00775BDB" w:rsidRPr="00040285" w:rsidRDefault="00775BDB" w:rsidP="00775BDB">
      <w:pPr>
        <w:pStyle w:val="ListParagraph"/>
        <w:numPr>
          <w:ilvl w:val="0"/>
          <w:numId w:val="6"/>
        </w:numPr>
        <w:rPr>
          <w:rFonts w:cstheme="minorHAnsi"/>
          <w:b/>
          <w:bCs/>
        </w:rPr>
      </w:pPr>
      <w:r w:rsidRPr="00040285">
        <w:rPr>
          <w:rFonts w:cstheme="minorHAnsi"/>
          <w:b/>
          <w:bCs/>
          <w:sz w:val="28"/>
          <w:szCs w:val="28"/>
        </w:rPr>
        <w:lastRenderedPageBreak/>
        <w:t xml:space="preserve">Provide supervisees with regular, timely feedback that clearly indicates how to meet their program requirements for graduation. </w:t>
      </w:r>
      <w:r w:rsidRPr="00040285">
        <w:rPr>
          <w:rFonts w:cstheme="minorHAnsi"/>
          <w:b/>
          <w:bCs/>
        </w:rPr>
        <w:br/>
      </w:r>
    </w:p>
    <w:p w14:paraId="680E9A75" w14:textId="77777777" w:rsidR="00775BDB" w:rsidRPr="00040285" w:rsidRDefault="00775BDB" w:rsidP="00775BDB">
      <w:pPr>
        <w:pStyle w:val="ListParagraph"/>
        <w:numPr>
          <w:ilvl w:val="1"/>
          <w:numId w:val="6"/>
        </w:numPr>
        <w:rPr>
          <w:rFonts w:cstheme="minorHAnsi"/>
        </w:rPr>
      </w:pPr>
      <w:r w:rsidRPr="00040285">
        <w:rPr>
          <w:rFonts w:cstheme="minorHAnsi"/>
        </w:rPr>
        <w:t>Uphold the commitments made in Letters of Understanding regarding how long it will take to return student work with feedback. Providing regular updates for students on when to expect feedback is also helpful for ensuring accountability and on-time degree completion.</w:t>
      </w:r>
      <w:r w:rsidRPr="00040285">
        <w:rPr>
          <w:rFonts w:cstheme="minorHAnsi"/>
        </w:rPr>
        <w:br/>
      </w:r>
    </w:p>
    <w:p w14:paraId="13485B2A" w14:textId="77777777" w:rsidR="00775BDB" w:rsidRPr="00040285" w:rsidRDefault="00775BDB" w:rsidP="00775BDB">
      <w:pPr>
        <w:pStyle w:val="ListParagraph"/>
        <w:numPr>
          <w:ilvl w:val="1"/>
          <w:numId w:val="6"/>
        </w:numPr>
        <w:rPr>
          <w:rFonts w:cstheme="minorHAnsi"/>
        </w:rPr>
      </w:pPr>
      <w:r w:rsidRPr="00040285">
        <w:rPr>
          <w:rFonts w:cstheme="minorHAnsi"/>
        </w:rPr>
        <w:t xml:space="preserve">Clarify expectations ahead of major milestones (e.g., proposals, qualifying examinations, thesis submission, oral </w:t>
      </w:r>
      <w:proofErr w:type="spellStart"/>
      <w:r w:rsidRPr="00040285">
        <w:rPr>
          <w:rFonts w:cstheme="minorHAnsi"/>
        </w:rPr>
        <w:t>defences</w:t>
      </w:r>
      <w:proofErr w:type="spellEnd"/>
      <w:r w:rsidRPr="00040285">
        <w:rPr>
          <w:rFonts w:cstheme="minorHAnsi"/>
        </w:rPr>
        <w:t xml:space="preserve">). </w:t>
      </w:r>
      <w:r w:rsidRPr="00040285">
        <w:rPr>
          <w:rFonts w:cstheme="minorHAnsi"/>
          <w:b/>
          <w:bCs/>
        </w:rPr>
        <w:t>Supervisees should understand how they will be assessed, what is required to pass major milestones</w:t>
      </w:r>
      <w:r w:rsidRPr="00040285">
        <w:rPr>
          <w:rFonts w:cstheme="minorHAnsi"/>
        </w:rPr>
        <w:t xml:space="preserve">, and the departmental standards for thesis research and other evaluated graduate work. </w:t>
      </w:r>
      <w:r w:rsidRPr="00040285">
        <w:rPr>
          <w:rFonts w:cstheme="minorHAnsi"/>
        </w:rPr>
        <w:br/>
      </w:r>
    </w:p>
    <w:p w14:paraId="59DE19DF" w14:textId="77777777" w:rsidR="00775BDB" w:rsidRPr="00040285" w:rsidRDefault="00775BDB" w:rsidP="00775BDB">
      <w:pPr>
        <w:pStyle w:val="ListParagraph"/>
        <w:numPr>
          <w:ilvl w:val="0"/>
          <w:numId w:val="10"/>
        </w:numPr>
        <w:rPr>
          <w:rFonts w:cstheme="minorHAnsi"/>
        </w:rPr>
      </w:pPr>
      <w:r w:rsidRPr="00040285">
        <w:rPr>
          <w:rFonts w:cstheme="minorHAnsi"/>
        </w:rPr>
        <w:t xml:space="preserve">Feedback on submitted work should be clear, substantial, and provide specific, actionable recommendations for improvement. Evaluations of student work must be made principally on the basis of the demonstrated quality of the student’s research, and not comparisons with other students or supervisor </w:t>
      </w:r>
      <w:r>
        <w:rPr>
          <w:rFonts w:cstheme="minorHAnsi"/>
        </w:rPr>
        <w:t>opinions</w:t>
      </w:r>
      <w:r w:rsidRPr="00040285">
        <w:rPr>
          <w:rFonts w:cstheme="minorHAnsi"/>
        </w:rPr>
        <w:t xml:space="preserve"> of the student’s readiness to graduate or ability to succeed in a specific subsequent profession.</w:t>
      </w:r>
    </w:p>
    <w:p w14:paraId="38936205" w14:textId="77777777" w:rsidR="00775BDB" w:rsidRPr="00040285" w:rsidRDefault="00775BDB" w:rsidP="00775BDB">
      <w:pPr>
        <w:pStyle w:val="ListParagraph"/>
        <w:ind w:left="1080"/>
        <w:rPr>
          <w:rFonts w:cstheme="minorHAnsi"/>
        </w:rPr>
      </w:pPr>
    </w:p>
    <w:p w14:paraId="4A7D211F" w14:textId="27FB892C" w:rsidR="00775BDB" w:rsidRPr="00775BDB" w:rsidRDefault="00775BDB" w:rsidP="00775BDB">
      <w:pPr>
        <w:pStyle w:val="ListParagraph"/>
        <w:numPr>
          <w:ilvl w:val="0"/>
          <w:numId w:val="10"/>
        </w:numPr>
        <w:rPr>
          <w:rFonts w:cstheme="minorHAnsi"/>
        </w:rPr>
      </w:pPr>
      <w:r w:rsidRPr="00040285">
        <w:rPr>
          <w:rFonts w:cstheme="minorHAnsi"/>
        </w:rPr>
        <w:t xml:space="preserve">Supervisors must not prevent students from seeking to graduate if they have completed all the degree requirements and their work meets departmental standards. </w:t>
      </w:r>
      <w:r w:rsidRPr="00775BDB">
        <w:rPr>
          <w:rFonts w:cstheme="minorHAnsi"/>
        </w:rPr>
        <w:br/>
      </w:r>
    </w:p>
    <w:p w14:paraId="3D6C72F6" w14:textId="77777777" w:rsidR="00775BDB" w:rsidRPr="00040285" w:rsidRDefault="00775BDB" w:rsidP="00775BDB">
      <w:pPr>
        <w:pStyle w:val="ListParagraph"/>
        <w:numPr>
          <w:ilvl w:val="0"/>
          <w:numId w:val="6"/>
        </w:numPr>
        <w:rPr>
          <w:rFonts w:cstheme="minorHAnsi"/>
          <w:b/>
          <w:bCs/>
        </w:rPr>
      </w:pPr>
      <w:r>
        <w:rPr>
          <w:rFonts w:cstheme="minorHAnsi"/>
          <w:b/>
          <w:bCs/>
          <w:sz w:val="28"/>
          <w:szCs w:val="28"/>
        </w:rPr>
        <w:t>Respect their</w:t>
      </w:r>
      <w:r w:rsidRPr="00040285">
        <w:rPr>
          <w:rFonts w:cstheme="minorHAnsi"/>
          <w:b/>
          <w:bCs/>
          <w:sz w:val="28"/>
          <w:szCs w:val="28"/>
        </w:rPr>
        <w:t xml:space="preserve"> limits in supporting supervisee wellbeing. </w:t>
      </w:r>
      <w:r w:rsidRPr="00040285">
        <w:rPr>
          <w:rFonts w:cstheme="minorHAnsi"/>
          <w:b/>
          <w:bCs/>
        </w:rPr>
        <w:br/>
      </w:r>
    </w:p>
    <w:p w14:paraId="048312E6" w14:textId="77777777" w:rsidR="00775BDB" w:rsidRPr="00040285" w:rsidRDefault="00775BDB" w:rsidP="00775BDB">
      <w:pPr>
        <w:pStyle w:val="ListParagraph"/>
        <w:numPr>
          <w:ilvl w:val="1"/>
          <w:numId w:val="6"/>
        </w:numPr>
        <w:rPr>
          <w:rFonts w:cstheme="minorHAnsi"/>
        </w:rPr>
      </w:pPr>
      <w:r w:rsidRPr="00040285">
        <w:rPr>
          <w:rFonts w:cstheme="minorHAnsi"/>
        </w:rPr>
        <w:t xml:space="preserve">Supervisors are often among the first to notice when a graduate student or postdoc is unwell. </w:t>
      </w:r>
      <w:r w:rsidRPr="00040285">
        <w:rPr>
          <w:rFonts w:cstheme="minorHAnsi"/>
          <w:b/>
          <w:bCs/>
        </w:rPr>
        <w:t>Supervisors should offer a supportive ear while respecting their limits when it comes to addressing student mental health</w:t>
      </w:r>
      <w:r w:rsidRPr="00040285">
        <w:rPr>
          <w:rFonts w:cstheme="minorHAnsi"/>
        </w:rPr>
        <w:t xml:space="preserve">. The </w:t>
      </w:r>
      <w:hyperlink r:id="rId28" w:history="1">
        <w:r w:rsidRPr="00040285">
          <w:rPr>
            <w:rStyle w:val="Hyperlink"/>
            <w:rFonts w:cstheme="minorHAnsi"/>
          </w:rPr>
          <w:t>Student Wellness Hub</w:t>
        </w:r>
      </w:hyperlink>
      <w:r w:rsidRPr="00040285">
        <w:rPr>
          <w:rFonts w:cstheme="minorHAnsi"/>
        </w:rPr>
        <w:t xml:space="preserve"> connects students with help from trained clinicians.  </w:t>
      </w:r>
      <w:r w:rsidRPr="00040285">
        <w:rPr>
          <w:rFonts w:cstheme="minorHAnsi"/>
        </w:rPr>
        <w:br/>
      </w:r>
    </w:p>
    <w:p w14:paraId="3378B8A1" w14:textId="77777777" w:rsidR="00775BDB" w:rsidRPr="00040285" w:rsidRDefault="00775BDB" w:rsidP="00775BDB">
      <w:pPr>
        <w:pStyle w:val="ListParagraph"/>
        <w:rPr>
          <w:rFonts w:cstheme="minorHAnsi"/>
          <w:u w:val="single"/>
        </w:rPr>
      </w:pPr>
      <w:r w:rsidRPr="00040285">
        <w:rPr>
          <w:rFonts w:cstheme="minorHAnsi"/>
          <w:u w:val="single"/>
        </w:rPr>
        <w:t xml:space="preserve">Resource: </w:t>
      </w:r>
    </w:p>
    <w:p w14:paraId="394FBF5F" w14:textId="77777777" w:rsidR="00775BDB" w:rsidRPr="00F67887" w:rsidRDefault="00775BDB" w:rsidP="00775BDB">
      <w:pPr>
        <w:pStyle w:val="ListParagraph"/>
        <w:rPr>
          <w:rFonts w:cstheme="minorHAnsi"/>
          <w:sz w:val="18"/>
          <w:szCs w:val="18"/>
        </w:rPr>
      </w:pPr>
    </w:p>
    <w:p w14:paraId="436D72E8" w14:textId="77777777" w:rsidR="00775BDB" w:rsidRPr="00040285" w:rsidRDefault="003268D3" w:rsidP="00775BDB">
      <w:pPr>
        <w:pStyle w:val="ListParagraph"/>
        <w:numPr>
          <w:ilvl w:val="0"/>
          <w:numId w:val="12"/>
        </w:numPr>
        <w:rPr>
          <w:rFonts w:cstheme="minorHAnsi"/>
        </w:rPr>
      </w:pPr>
      <w:hyperlink r:id="rId29" w:history="1">
        <w:r w:rsidR="00775BDB" w:rsidRPr="00040285">
          <w:rPr>
            <w:rStyle w:val="Hyperlink"/>
            <w:rFonts w:cstheme="minorHAnsi"/>
          </w:rPr>
          <w:t>Tips for talking to a student in difficulty</w:t>
        </w:r>
      </w:hyperlink>
      <w:r w:rsidR="00775BDB" w:rsidRPr="00040285">
        <w:rPr>
          <w:rFonts w:cstheme="minorHAnsi"/>
        </w:rPr>
        <w:t xml:space="preserve"> </w:t>
      </w:r>
      <w:r w:rsidR="00775BDB" w:rsidRPr="00040285">
        <w:rPr>
          <w:rFonts w:cstheme="minorHAnsi"/>
        </w:rPr>
        <w:br/>
      </w:r>
    </w:p>
    <w:p w14:paraId="58DE0E7D" w14:textId="77777777" w:rsidR="00775BDB" w:rsidRPr="00040285" w:rsidRDefault="00775BDB" w:rsidP="00775BDB">
      <w:pPr>
        <w:pStyle w:val="ListParagraph"/>
        <w:numPr>
          <w:ilvl w:val="1"/>
          <w:numId w:val="6"/>
        </w:numPr>
        <w:rPr>
          <w:rFonts w:cstheme="minorHAnsi"/>
        </w:rPr>
      </w:pPr>
      <w:r w:rsidRPr="00040285">
        <w:rPr>
          <w:rFonts w:cstheme="minorHAnsi"/>
          <w:b/>
          <w:bCs/>
        </w:rPr>
        <w:t xml:space="preserve">Supervisors and </w:t>
      </w:r>
      <w:r>
        <w:rPr>
          <w:rFonts w:cstheme="minorHAnsi"/>
          <w:b/>
          <w:bCs/>
        </w:rPr>
        <w:t>supervisees</w:t>
      </w:r>
      <w:r w:rsidRPr="00040285">
        <w:rPr>
          <w:rFonts w:cstheme="minorHAnsi"/>
          <w:b/>
          <w:bCs/>
        </w:rPr>
        <w:t xml:space="preserve"> alike benefit from flexibility and understanding</w:t>
      </w:r>
      <w:r w:rsidRPr="00040285">
        <w:rPr>
          <w:rFonts w:cstheme="minorHAnsi"/>
        </w:rPr>
        <w:t xml:space="preserve"> when it comes to balancing work responsibilities and personal wellbeing. </w:t>
      </w:r>
    </w:p>
    <w:p w14:paraId="59DEB3F1" w14:textId="77777777" w:rsidR="00775BDB" w:rsidRPr="00040285" w:rsidRDefault="00775BDB" w:rsidP="00775BDB">
      <w:pPr>
        <w:ind w:left="360"/>
        <w:rPr>
          <w:rFonts w:cstheme="minorHAnsi"/>
        </w:rPr>
      </w:pPr>
    </w:p>
    <w:p w14:paraId="4FA9F8EB" w14:textId="77777777" w:rsidR="00775BDB" w:rsidRPr="00BB1A97" w:rsidRDefault="00775BDB" w:rsidP="00775BDB">
      <w:pPr>
        <w:pStyle w:val="ListParagraph"/>
        <w:numPr>
          <w:ilvl w:val="2"/>
          <w:numId w:val="13"/>
        </w:numPr>
        <w:rPr>
          <w:rFonts w:cstheme="minorHAnsi"/>
        </w:rPr>
      </w:pPr>
      <w:r w:rsidRPr="00BB1A97">
        <w:rPr>
          <w:rFonts w:cstheme="minorHAnsi"/>
        </w:rPr>
        <w:t>Supervisors should encourage supervisees to</w:t>
      </w:r>
      <w:r w:rsidRPr="00B2246E">
        <w:rPr>
          <w:rFonts w:cstheme="minorHAnsi"/>
        </w:rPr>
        <w:t xml:space="preserve"> maintain reasonable working hours and clarify expectations that </w:t>
      </w:r>
      <w:r>
        <w:rPr>
          <w:rFonts w:cstheme="minorHAnsi"/>
        </w:rPr>
        <w:t>supervisees</w:t>
      </w:r>
      <w:r w:rsidRPr="00B2246E">
        <w:rPr>
          <w:rFonts w:cstheme="minorHAnsi"/>
        </w:rPr>
        <w:t xml:space="preserve"> will take time to rest, recharge, and connect with friends and family. </w:t>
      </w:r>
      <w:r>
        <w:rPr>
          <w:rFonts w:cstheme="minorHAnsi"/>
        </w:rPr>
        <w:br/>
      </w:r>
    </w:p>
    <w:p w14:paraId="46BF3D71" w14:textId="77777777" w:rsidR="00775BDB" w:rsidRPr="00040285" w:rsidRDefault="00775BDB" w:rsidP="00775BDB">
      <w:pPr>
        <w:pStyle w:val="ListParagraph"/>
        <w:numPr>
          <w:ilvl w:val="2"/>
          <w:numId w:val="13"/>
        </w:numPr>
        <w:rPr>
          <w:rFonts w:cstheme="minorHAnsi"/>
        </w:rPr>
      </w:pPr>
      <w:r w:rsidRPr="00040285">
        <w:rPr>
          <w:rFonts w:cstheme="minorHAnsi"/>
        </w:rPr>
        <w:t>Supervisors</w:t>
      </w:r>
      <w:r>
        <w:rPr>
          <w:rFonts w:cstheme="minorHAnsi"/>
        </w:rPr>
        <w:t xml:space="preserve"> and supervisees</w:t>
      </w:r>
      <w:r w:rsidRPr="00040285">
        <w:rPr>
          <w:rFonts w:cstheme="minorHAnsi"/>
        </w:rPr>
        <w:t xml:space="preserve"> should communicate </w:t>
      </w:r>
      <w:r>
        <w:rPr>
          <w:rFonts w:cstheme="minorHAnsi"/>
        </w:rPr>
        <w:t xml:space="preserve">their </w:t>
      </w:r>
      <w:r w:rsidRPr="00040285">
        <w:rPr>
          <w:rFonts w:cstheme="minorHAnsi"/>
        </w:rPr>
        <w:t xml:space="preserve">availability </w:t>
      </w:r>
      <w:r>
        <w:rPr>
          <w:rFonts w:cstheme="minorHAnsi"/>
        </w:rPr>
        <w:t xml:space="preserve">limits </w:t>
      </w:r>
      <w:r w:rsidRPr="00040285">
        <w:rPr>
          <w:rFonts w:cstheme="minorHAnsi"/>
        </w:rPr>
        <w:t xml:space="preserve">in Letters of Understanding (e.g., unavailable to meet after 3pm, will respond to emails within 48 hours, etc.).  </w:t>
      </w:r>
      <w:r>
        <w:rPr>
          <w:rFonts w:cstheme="minorHAnsi"/>
        </w:rPr>
        <w:t>Supervisees should respect these limits and make use of available supports to maintain their wellbeing (e.g., Local Wellness Advisors, the Student Wellness Hub, etc.).</w:t>
      </w:r>
    </w:p>
    <w:p w14:paraId="31A4EB5F" w14:textId="77777777" w:rsidR="00775BDB" w:rsidRPr="00040285" w:rsidRDefault="00775BDB" w:rsidP="00775BDB">
      <w:pPr>
        <w:pStyle w:val="ListParagraph"/>
        <w:ind w:left="1546"/>
        <w:rPr>
          <w:rFonts w:cstheme="minorHAnsi"/>
        </w:rPr>
      </w:pPr>
    </w:p>
    <w:p w14:paraId="1EE674C1" w14:textId="77777777" w:rsidR="00775BDB" w:rsidRPr="00040285" w:rsidRDefault="00775BDB" w:rsidP="00775BDB">
      <w:pPr>
        <w:pStyle w:val="ListParagraph"/>
        <w:numPr>
          <w:ilvl w:val="1"/>
          <w:numId w:val="6"/>
        </w:numPr>
        <w:rPr>
          <w:rFonts w:cstheme="minorHAnsi"/>
        </w:rPr>
      </w:pPr>
      <w:r w:rsidRPr="00040285">
        <w:rPr>
          <w:rFonts w:cstheme="minorHAnsi"/>
          <w:b/>
          <w:bCs/>
        </w:rPr>
        <w:lastRenderedPageBreak/>
        <w:t>Supervisors must respect their supervisee’s autonomy when it comes decisions that impact the supervisee’s future</w:t>
      </w:r>
      <w:r w:rsidRPr="00040285">
        <w:rPr>
          <w:rFonts w:cstheme="minorHAnsi"/>
        </w:rPr>
        <w:t>. Supervisees should be able to freely choose to pursue a particular career path, take advantage of professional development opportunities, start a family, take a leave of absence, etc., without fear that their supervisor will withdraw support.</w:t>
      </w:r>
    </w:p>
    <w:p w14:paraId="0A19D068" w14:textId="77777777" w:rsidR="00775BDB" w:rsidRPr="00040285" w:rsidRDefault="00775BDB" w:rsidP="00775BDB">
      <w:pPr>
        <w:pStyle w:val="ListParagraph"/>
        <w:rPr>
          <w:rFonts w:cstheme="minorHAnsi"/>
        </w:rPr>
      </w:pPr>
    </w:p>
    <w:p w14:paraId="1B5CD36A" w14:textId="77777777" w:rsidR="00775BDB" w:rsidRPr="00040285" w:rsidRDefault="00775BDB" w:rsidP="00775BDB">
      <w:pPr>
        <w:ind w:firstLine="720"/>
        <w:rPr>
          <w:rFonts w:cstheme="minorHAnsi"/>
          <w:u w:val="single"/>
        </w:rPr>
      </w:pPr>
      <w:r w:rsidRPr="00040285">
        <w:rPr>
          <w:rFonts w:cstheme="minorHAnsi"/>
          <w:u w:val="single"/>
        </w:rPr>
        <w:t xml:space="preserve">Policy Resources: </w:t>
      </w:r>
    </w:p>
    <w:p w14:paraId="532754BC" w14:textId="77777777" w:rsidR="00775BDB" w:rsidRPr="00F67887" w:rsidRDefault="00775BDB" w:rsidP="00775BDB">
      <w:pPr>
        <w:rPr>
          <w:rFonts w:cstheme="minorHAnsi"/>
          <w:sz w:val="18"/>
          <w:szCs w:val="18"/>
        </w:rPr>
      </w:pPr>
    </w:p>
    <w:p w14:paraId="26EA9839" w14:textId="77777777" w:rsidR="00775BDB" w:rsidRPr="00040285" w:rsidRDefault="00775BDB" w:rsidP="00775BDB">
      <w:pPr>
        <w:pStyle w:val="ListParagraph"/>
        <w:numPr>
          <w:ilvl w:val="0"/>
          <w:numId w:val="4"/>
        </w:numPr>
        <w:ind w:left="1134" w:hanging="425"/>
        <w:rPr>
          <w:rFonts w:cstheme="minorHAnsi"/>
        </w:rPr>
      </w:pPr>
      <w:r w:rsidRPr="00040285">
        <w:rPr>
          <w:rFonts w:cstheme="minorHAnsi"/>
        </w:rPr>
        <w:t>Parental Leave:</w:t>
      </w:r>
    </w:p>
    <w:p w14:paraId="10DE9A14" w14:textId="77777777" w:rsidR="00775BDB" w:rsidRPr="00040285" w:rsidRDefault="003268D3" w:rsidP="00775BDB">
      <w:pPr>
        <w:pStyle w:val="ListParagraph"/>
        <w:ind w:left="1134"/>
        <w:rPr>
          <w:rFonts w:cstheme="minorHAnsi"/>
        </w:rPr>
      </w:pPr>
      <w:hyperlink r:id="rId30" w:history="1">
        <w:r w:rsidR="00775BDB" w:rsidRPr="00040285">
          <w:rPr>
            <w:rStyle w:val="Hyperlink"/>
            <w:rFonts w:cstheme="minorHAnsi"/>
          </w:rPr>
          <w:t>https://www.mcgill.ca/gps/students/policies-and-guidelines/parental-leave</w:t>
        </w:r>
      </w:hyperlink>
      <w:r w:rsidR="00775BDB" w:rsidRPr="00040285">
        <w:rPr>
          <w:rFonts w:cstheme="minorHAnsi"/>
        </w:rPr>
        <w:t xml:space="preserve">  </w:t>
      </w:r>
    </w:p>
    <w:p w14:paraId="46C99CCD" w14:textId="77777777" w:rsidR="00775BDB" w:rsidRPr="00F67887" w:rsidRDefault="00775BDB" w:rsidP="00775BDB">
      <w:pPr>
        <w:pStyle w:val="ListParagraph"/>
        <w:numPr>
          <w:ilvl w:val="0"/>
          <w:numId w:val="4"/>
        </w:numPr>
        <w:ind w:left="1134" w:hanging="425"/>
        <w:rPr>
          <w:rFonts w:cstheme="minorHAnsi"/>
        </w:rPr>
      </w:pPr>
      <w:r w:rsidRPr="00040285">
        <w:rPr>
          <w:rFonts w:cstheme="minorHAnsi"/>
        </w:rPr>
        <w:t xml:space="preserve">Leave of Absence and Vacation Policy: </w:t>
      </w:r>
      <w:hyperlink r:id="rId31" w:history="1">
        <w:r w:rsidRPr="00040285">
          <w:rPr>
            <w:rStyle w:val="Hyperlink"/>
            <w:rFonts w:cstheme="minorHAnsi"/>
          </w:rPr>
          <w:t>https://www.mcgill.ca/gps/students/registration/progress/leave-vacation</w:t>
        </w:r>
      </w:hyperlink>
      <w:r w:rsidRPr="00040285">
        <w:rPr>
          <w:rFonts w:cstheme="minorHAnsi"/>
        </w:rPr>
        <w:t xml:space="preserve"> </w:t>
      </w:r>
      <w:r w:rsidRPr="00040285">
        <w:rPr>
          <w:rFonts w:cstheme="minorHAnsi"/>
        </w:rPr>
        <w:br/>
      </w:r>
    </w:p>
    <w:p w14:paraId="3F912C67" w14:textId="77777777" w:rsidR="00775BDB" w:rsidRPr="00040285" w:rsidRDefault="00775BDB" w:rsidP="00775BDB">
      <w:pPr>
        <w:pStyle w:val="ListParagraph"/>
        <w:numPr>
          <w:ilvl w:val="0"/>
          <w:numId w:val="6"/>
        </w:numPr>
        <w:rPr>
          <w:rFonts w:cstheme="minorHAnsi"/>
          <w:b/>
          <w:bCs/>
          <w:sz w:val="28"/>
          <w:szCs w:val="28"/>
        </w:rPr>
      </w:pPr>
      <w:r w:rsidRPr="00040285">
        <w:rPr>
          <w:rFonts w:cstheme="minorHAnsi"/>
          <w:b/>
          <w:bCs/>
          <w:sz w:val="28"/>
          <w:szCs w:val="28"/>
        </w:rPr>
        <w:t xml:space="preserve">Know policies relevant to graduate studies well enough to advise supervisees. If unsure, ask for clarification. </w:t>
      </w:r>
    </w:p>
    <w:p w14:paraId="3F6153A5" w14:textId="77777777" w:rsidR="00775BDB" w:rsidRPr="00040285" w:rsidRDefault="00775BDB" w:rsidP="00775BDB">
      <w:pPr>
        <w:pStyle w:val="ListParagraph"/>
        <w:ind w:left="1440"/>
        <w:rPr>
          <w:rFonts w:cstheme="minorHAnsi"/>
        </w:rPr>
      </w:pPr>
    </w:p>
    <w:p w14:paraId="13D2ADD2" w14:textId="77777777" w:rsidR="00775BDB" w:rsidRPr="00F67887" w:rsidRDefault="00775BDB" w:rsidP="00775BDB">
      <w:pPr>
        <w:ind w:firstLine="360"/>
        <w:rPr>
          <w:rFonts w:cstheme="minorHAnsi"/>
          <w:sz w:val="18"/>
          <w:szCs w:val="18"/>
          <w:u w:val="single"/>
        </w:rPr>
      </w:pPr>
      <w:r w:rsidRPr="00040285">
        <w:rPr>
          <w:rFonts w:cstheme="minorHAnsi"/>
          <w:u w:val="single"/>
        </w:rPr>
        <w:t xml:space="preserve">Resources: </w:t>
      </w:r>
      <w:r>
        <w:rPr>
          <w:rFonts w:cstheme="minorHAnsi"/>
          <w:u w:val="single"/>
        </w:rPr>
        <w:br/>
      </w:r>
    </w:p>
    <w:p w14:paraId="146312B4" w14:textId="77777777" w:rsidR="00775BDB" w:rsidRPr="00040285" w:rsidRDefault="003268D3" w:rsidP="00775BDB">
      <w:pPr>
        <w:pStyle w:val="ListParagraph"/>
        <w:numPr>
          <w:ilvl w:val="0"/>
          <w:numId w:val="7"/>
        </w:numPr>
        <w:ind w:left="1134" w:hanging="425"/>
        <w:rPr>
          <w:rFonts w:cstheme="minorHAnsi"/>
        </w:rPr>
      </w:pPr>
      <w:hyperlink r:id="rId32" w:history="1">
        <w:r w:rsidR="00775BDB" w:rsidRPr="00040285">
          <w:rPr>
            <w:rStyle w:val="Hyperlink"/>
            <w:rFonts w:cstheme="minorHAnsi"/>
          </w:rPr>
          <w:t>Graduate and Postdoctoral Studies</w:t>
        </w:r>
      </w:hyperlink>
      <w:r w:rsidR="00775BDB" w:rsidRPr="00040285">
        <w:rPr>
          <w:rFonts w:cstheme="minorHAnsi"/>
        </w:rPr>
        <w:t xml:space="preserve"> </w:t>
      </w:r>
    </w:p>
    <w:p w14:paraId="37D14CD2" w14:textId="77777777" w:rsidR="00775BDB" w:rsidRPr="00040285" w:rsidRDefault="003268D3" w:rsidP="00775BDB">
      <w:pPr>
        <w:pStyle w:val="ListParagraph"/>
        <w:numPr>
          <w:ilvl w:val="0"/>
          <w:numId w:val="7"/>
        </w:numPr>
        <w:ind w:left="1134" w:hanging="425"/>
        <w:rPr>
          <w:rFonts w:cstheme="minorHAnsi"/>
        </w:rPr>
      </w:pPr>
      <w:hyperlink r:id="rId33" w:history="1">
        <w:r w:rsidR="00775BDB" w:rsidRPr="00040285">
          <w:rPr>
            <w:rStyle w:val="Hyperlink"/>
            <w:rFonts w:cstheme="minorHAnsi"/>
          </w:rPr>
          <w:t>Secretariat</w:t>
        </w:r>
      </w:hyperlink>
      <w:r w:rsidR="00775BDB" w:rsidRPr="00040285">
        <w:rPr>
          <w:rFonts w:cstheme="minorHAnsi"/>
        </w:rPr>
        <w:t xml:space="preserve"> </w:t>
      </w:r>
    </w:p>
    <w:p w14:paraId="6F8D754D" w14:textId="6CF1D0F9" w:rsidR="00D27B0E" w:rsidRDefault="00775BDB" w:rsidP="00775BDB">
      <w:pPr>
        <w:pStyle w:val="ListParagraph"/>
        <w:numPr>
          <w:ilvl w:val="0"/>
          <w:numId w:val="7"/>
        </w:numPr>
        <w:ind w:left="1134" w:hanging="425"/>
        <w:rPr>
          <w:rFonts w:cstheme="minorHAnsi"/>
        </w:rPr>
      </w:pPr>
      <w:r w:rsidRPr="00040285">
        <w:rPr>
          <w:rFonts w:cstheme="minorHAnsi"/>
        </w:rPr>
        <w:t>A Graduate Program Director or Department Chair</w:t>
      </w:r>
    </w:p>
    <w:p w14:paraId="03DC3672" w14:textId="77777777" w:rsidR="00243B7D" w:rsidRPr="00243B7D" w:rsidRDefault="00243B7D" w:rsidP="00243B7D">
      <w:pPr>
        <w:rPr>
          <w:rFonts w:cstheme="minorHAnsi"/>
        </w:rPr>
      </w:pPr>
    </w:p>
    <w:p w14:paraId="20DA045C" w14:textId="32216ED5" w:rsidR="00D27B0E" w:rsidRDefault="00D27B0E">
      <w:pPr>
        <w:spacing w:after="120"/>
      </w:pPr>
    </w:p>
    <w:p w14:paraId="47A5BCCB" w14:textId="3C48824D" w:rsidR="00243B7D" w:rsidRDefault="00243B7D">
      <w:pPr>
        <w:spacing w:after="120"/>
      </w:pPr>
    </w:p>
    <w:p w14:paraId="44BB938C" w14:textId="77777777" w:rsidR="00243B7D" w:rsidRDefault="00243B7D">
      <w:pPr>
        <w:spacing w:after="120"/>
      </w:pPr>
    </w:p>
    <w:p w14:paraId="1FD2E828" w14:textId="55568749" w:rsidR="00D27B0E" w:rsidRDefault="00D60A1D">
      <w:pPr>
        <w:spacing w:after="120"/>
      </w:pPr>
      <w:r>
        <w:t xml:space="preserve">Date: </w:t>
      </w:r>
      <w:r>
        <w:tab/>
      </w:r>
      <w:sdt>
        <w:sdtPr>
          <w:id w:val="1932396698"/>
          <w:placeholder>
            <w:docPart w:val="DefaultPlaceholder_-1854013438"/>
          </w:placeholder>
          <w:showingPlcHdr/>
          <w:date>
            <w:dateFormat w:val="MMMM d, yyyy"/>
            <w:lid w:val="en-CA"/>
            <w:storeMappedDataAs w:val="dateTime"/>
            <w:calendar w:val="gregorian"/>
          </w:date>
        </w:sdtPr>
        <w:sdtEndPr/>
        <w:sdtContent>
          <w:r w:rsidR="00F7421B" w:rsidRPr="00206173">
            <w:rPr>
              <w:rStyle w:val="PlaceholderText"/>
            </w:rPr>
            <w:t>Click or tap to enter a date.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942"/>
        <w:gridCol w:w="1145"/>
        <w:gridCol w:w="3937"/>
      </w:tblGrid>
      <w:tr w:rsidR="009E36CF" w14:paraId="72338318" w14:textId="77777777" w:rsidTr="009D7C46">
        <w:trPr>
          <w:trHeight w:val="936"/>
        </w:trPr>
        <w:tc>
          <w:tcPr>
            <w:tcW w:w="1998" w:type="dxa"/>
            <w:vAlign w:val="bottom"/>
          </w:tcPr>
          <w:p w14:paraId="79211906" w14:textId="77777777" w:rsidR="009E36CF" w:rsidRDefault="009E36CF">
            <w:pPr>
              <w:spacing w:after="120"/>
            </w:pPr>
            <w:r>
              <w:t>Supervisor Name:</w:t>
            </w:r>
          </w:p>
        </w:tc>
        <w:tc>
          <w:tcPr>
            <w:tcW w:w="3096" w:type="dxa"/>
            <w:vAlign w:val="bottom"/>
          </w:tcPr>
          <w:p w14:paraId="05C9FADD" w14:textId="77777777" w:rsidR="009E36CF" w:rsidRPr="00EA6FAF" w:rsidRDefault="00753EDF" w:rsidP="009E36CF">
            <w:pPr>
              <w:spacing w:after="120"/>
              <w:rPr>
                <w:i/>
              </w:rPr>
            </w:pPr>
            <w:r>
              <w:rPr>
                <w:i/>
                <w:color w:val="4472C4" w:themeColor="accent5"/>
              </w:rPr>
              <w:t>[t</w:t>
            </w:r>
            <w:r w:rsidR="009E36CF" w:rsidRPr="00EA6FAF">
              <w:rPr>
                <w:i/>
                <w:color w:val="4472C4" w:themeColor="accent5"/>
              </w:rPr>
              <w:t xml:space="preserve">ype </w:t>
            </w:r>
            <w:r w:rsidR="00EA6FAF" w:rsidRPr="00EA6FAF">
              <w:rPr>
                <w:i/>
                <w:color w:val="4472C4" w:themeColor="accent5"/>
              </w:rPr>
              <w:t xml:space="preserve">name </w:t>
            </w:r>
            <w:r w:rsidR="009E36CF" w:rsidRPr="00EA6FAF">
              <w:rPr>
                <w:i/>
                <w:color w:val="4472C4" w:themeColor="accent5"/>
              </w:rPr>
              <w:t>here</w:t>
            </w:r>
            <w:r>
              <w:rPr>
                <w:i/>
                <w:color w:val="4472C4" w:themeColor="accent5"/>
              </w:rPr>
              <w:t>]</w:t>
            </w:r>
          </w:p>
        </w:tc>
        <w:tc>
          <w:tcPr>
            <w:tcW w:w="1139" w:type="dxa"/>
            <w:vAlign w:val="bottom"/>
          </w:tcPr>
          <w:p w14:paraId="30A9912E" w14:textId="77777777" w:rsidR="009E36CF" w:rsidRDefault="009E36CF">
            <w:pPr>
              <w:spacing w:after="120"/>
            </w:pPr>
            <w:r>
              <w:t>Signature</w:t>
            </w:r>
          </w:p>
        </w:tc>
        <w:tc>
          <w:tcPr>
            <w:tcW w:w="3955" w:type="dxa"/>
            <w:vAlign w:val="bottom"/>
          </w:tcPr>
          <w:p w14:paraId="74336195" w14:textId="77777777" w:rsidR="009E36CF" w:rsidRDefault="009E36CF">
            <w:pPr>
              <w:spacing w:after="120"/>
            </w:pPr>
            <w:r>
              <w:t>_____________________________</w:t>
            </w:r>
          </w:p>
        </w:tc>
      </w:tr>
      <w:tr w:rsidR="009E36CF" w14:paraId="20A16C0C" w14:textId="77777777" w:rsidTr="009D7C46">
        <w:trPr>
          <w:trHeight w:val="819"/>
        </w:trPr>
        <w:tc>
          <w:tcPr>
            <w:tcW w:w="1998" w:type="dxa"/>
            <w:vAlign w:val="bottom"/>
          </w:tcPr>
          <w:p w14:paraId="3D391433" w14:textId="77777777" w:rsidR="009E36CF" w:rsidRDefault="009E36CF">
            <w:pPr>
              <w:spacing w:after="120"/>
            </w:pPr>
            <w:r>
              <w:t>Trainee:</w:t>
            </w:r>
          </w:p>
        </w:tc>
        <w:tc>
          <w:tcPr>
            <w:tcW w:w="3096" w:type="dxa"/>
            <w:vAlign w:val="bottom"/>
          </w:tcPr>
          <w:p w14:paraId="51C8B255" w14:textId="77777777" w:rsidR="009E36CF" w:rsidRDefault="00753EDF">
            <w:pPr>
              <w:spacing w:after="120"/>
            </w:pPr>
            <w:r>
              <w:rPr>
                <w:i/>
                <w:color w:val="4472C4" w:themeColor="accent5"/>
              </w:rPr>
              <w:t>[</w:t>
            </w:r>
            <w:r w:rsidR="00EA6FAF" w:rsidRPr="00EA6FAF">
              <w:rPr>
                <w:i/>
                <w:color w:val="4472C4" w:themeColor="accent5"/>
              </w:rPr>
              <w:t>type name here</w:t>
            </w:r>
            <w:r>
              <w:rPr>
                <w:i/>
                <w:color w:val="4472C4" w:themeColor="accent5"/>
              </w:rPr>
              <w:t>]</w:t>
            </w:r>
          </w:p>
        </w:tc>
        <w:tc>
          <w:tcPr>
            <w:tcW w:w="1139" w:type="dxa"/>
            <w:vAlign w:val="bottom"/>
          </w:tcPr>
          <w:p w14:paraId="1B6E3D80" w14:textId="77777777" w:rsidR="009E36CF" w:rsidRDefault="009E36CF">
            <w:pPr>
              <w:spacing w:after="120"/>
            </w:pPr>
            <w:r>
              <w:t>Signature</w:t>
            </w:r>
          </w:p>
        </w:tc>
        <w:tc>
          <w:tcPr>
            <w:tcW w:w="3955" w:type="dxa"/>
            <w:vAlign w:val="bottom"/>
          </w:tcPr>
          <w:p w14:paraId="6F3A0A13" w14:textId="77777777" w:rsidR="009E36CF" w:rsidRDefault="009E36CF">
            <w:pPr>
              <w:spacing w:after="120"/>
            </w:pPr>
            <w:r>
              <w:t>_____________________________</w:t>
            </w:r>
          </w:p>
        </w:tc>
      </w:tr>
    </w:tbl>
    <w:p w14:paraId="6BBAC69F" w14:textId="77777777" w:rsidR="0018557E" w:rsidRDefault="0018557E">
      <w:pPr>
        <w:spacing w:after="120"/>
      </w:pPr>
    </w:p>
    <w:p w14:paraId="42239B32" w14:textId="77777777" w:rsidR="00F81653" w:rsidRDefault="00F81653">
      <w:pPr>
        <w:spacing w:after="120"/>
      </w:pPr>
    </w:p>
    <w:p w14:paraId="6B05AEF1" w14:textId="77777777" w:rsidR="00F81653" w:rsidRDefault="00F81653">
      <w:pPr>
        <w:spacing w:after="120"/>
      </w:pPr>
    </w:p>
    <w:p w14:paraId="54155553" w14:textId="77777777" w:rsidR="00F81653" w:rsidRDefault="00F81653">
      <w:pPr>
        <w:spacing w:after="120"/>
      </w:pPr>
    </w:p>
    <w:tbl>
      <w:tblPr>
        <w:tblStyle w:val="TableGrid"/>
        <w:tblW w:w="0" w:type="auto"/>
        <w:tblLook w:val="04A0" w:firstRow="1" w:lastRow="0" w:firstColumn="1" w:lastColumn="0" w:noHBand="0" w:noVBand="1"/>
      </w:tblPr>
      <w:tblGrid>
        <w:gridCol w:w="9962"/>
      </w:tblGrid>
      <w:tr w:rsidR="00F81653" w14:paraId="56420103" w14:textId="77777777" w:rsidTr="00F81653">
        <w:trPr>
          <w:trHeight w:val="1421"/>
        </w:trPr>
        <w:tc>
          <w:tcPr>
            <w:tcW w:w="10188" w:type="dxa"/>
          </w:tcPr>
          <w:p w14:paraId="51774212" w14:textId="77777777" w:rsidR="00F81653" w:rsidRDefault="00F81653" w:rsidP="00F81653">
            <w:pPr>
              <w:spacing w:after="120"/>
            </w:pPr>
            <w:r>
              <w:t>For Office use:</w:t>
            </w:r>
          </w:p>
          <w:p w14:paraId="672E7C1C" w14:textId="77777777" w:rsidR="00F81653" w:rsidRDefault="00F81653" w:rsidP="00F81653">
            <w:pPr>
              <w:spacing w:after="120"/>
            </w:pPr>
          </w:p>
          <w:p w14:paraId="7D5C3AA0" w14:textId="77777777" w:rsidR="00F81653" w:rsidRDefault="00F81653">
            <w:pPr>
              <w:spacing w:after="120"/>
            </w:pPr>
            <w:r>
              <w:t xml:space="preserve">GPD or Associate GPD: </w:t>
            </w:r>
            <w:r>
              <w:tab/>
            </w:r>
            <w:r>
              <w:tab/>
            </w:r>
            <w:r>
              <w:tab/>
            </w:r>
            <w:r>
              <w:tab/>
              <w:t>Signature _____________________________</w:t>
            </w:r>
          </w:p>
        </w:tc>
      </w:tr>
    </w:tbl>
    <w:p w14:paraId="3D2DB7B7" w14:textId="77777777" w:rsidR="00D27B0E" w:rsidRDefault="00D27B0E" w:rsidP="009E36CF">
      <w:pPr>
        <w:spacing w:after="120"/>
      </w:pPr>
    </w:p>
    <w:sectPr w:rsidR="00D27B0E" w:rsidSect="00D6786C">
      <w:headerReference w:type="even" r:id="rId34"/>
      <w:headerReference w:type="default" r:id="rId35"/>
      <w:footerReference w:type="even" r:id="rId36"/>
      <w:footerReference w:type="default" r:id="rId37"/>
      <w:headerReference w:type="first" r:id="rId38"/>
      <w:footerReference w:type="first" r:id="rId39"/>
      <w:pgSz w:w="12240" w:h="15840"/>
      <w:pgMar w:top="1134" w:right="1134" w:bottom="1134" w:left="1134"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2521" w14:textId="77777777" w:rsidR="0018557E" w:rsidRDefault="0018557E">
      <w:r>
        <w:separator/>
      </w:r>
    </w:p>
  </w:endnote>
  <w:endnote w:type="continuationSeparator" w:id="0">
    <w:p w14:paraId="7E63D9C7" w14:textId="77777777" w:rsidR="0018557E" w:rsidRDefault="0018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1"/>
    <w:family w:val="roman"/>
    <w:pitch w:val="variable"/>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5618" w14:textId="77777777" w:rsidR="00A06AB0" w:rsidRDefault="00A0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1298" w14:textId="150C74BE" w:rsidR="0018557E" w:rsidRDefault="0018557E">
    <w:pPr>
      <w:pStyle w:val="Footer"/>
    </w:pPr>
    <w:r>
      <w:ptab w:relativeTo="margin" w:alignment="center" w:leader="none"/>
    </w:r>
    <w:r>
      <w:fldChar w:fldCharType="begin"/>
    </w:r>
    <w:r>
      <w:instrText xml:space="preserve"> PAGE   \* MERGEFORMAT </w:instrText>
    </w:r>
    <w:r>
      <w:fldChar w:fldCharType="separate"/>
    </w:r>
    <w:r w:rsidR="00465870">
      <w:rPr>
        <w:noProof/>
      </w:rPr>
      <w:t>2</w:t>
    </w:r>
    <w:r>
      <w:rPr>
        <w:noProof/>
      </w:rPr>
      <w:fldChar w:fldCharType="end"/>
    </w:r>
    <w:r>
      <w:ptab w:relativeTo="margin" w:alignment="right" w:leader="none"/>
    </w:r>
    <w:r>
      <w:fldChar w:fldCharType="begin"/>
    </w:r>
    <w:r>
      <w:instrText xml:space="preserve"> REF PublishDate \h </w:instrText>
    </w:r>
    <w:r>
      <w:fldChar w:fldCharType="separate"/>
    </w:r>
    <w:r>
      <w:t>Rev.</w:t>
    </w:r>
    <w:r w:rsidR="00775BDB">
      <w:t xml:space="preserve"> 22 Sept.</w:t>
    </w:r>
    <w:r>
      <w:t xml:space="preserve"> 202</w:t>
    </w:r>
    <w:r>
      <w:fldChar w:fldCharType="end"/>
    </w:r>
    <w:r w:rsidR="00775BD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A6C3" w14:textId="3CBBCDD2" w:rsidR="0018557E" w:rsidRDefault="0018557E">
    <w:pPr>
      <w:pStyle w:val="Footer"/>
    </w:pPr>
    <w:r>
      <w:ptab w:relativeTo="margin" w:alignment="center" w:leader="none"/>
    </w:r>
    <w:r>
      <w:fldChar w:fldCharType="begin"/>
    </w:r>
    <w:r>
      <w:instrText xml:space="preserve"> PAGE   \* MERGEFORMAT </w:instrText>
    </w:r>
    <w:r>
      <w:fldChar w:fldCharType="separate"/>
    </w:r>
    <w:r w:rsidR="00465870">
      <w:rPr>
        <w:noProof/>
      </w:rPr>
      <w:t>1</w:t>
    </w:r>
    <w:r>
      <w:rPr>
        <w:noProof/>
      </w:rPr>
      <w:fldChar w:fldCharType="end"/>
    </w:r>
    <w:r>
      <w:ptab w:relativeTo="margin" w:alignment="right" w:leader="none"/>
    </w:r>
    <w:bookmarkStart w:id="0" w:name="PublishDate"/>
    <w:r>
      <w:t xml:space="preserve">Rev. </w:t>
    </w:r>
    <w:r w:rsidR="00A06AB0">
      <w:t xml:space="preserve">22 </w:t>
    </w:r>
    <w:r w:rsidR="00A06AB0">
      <w:t>Sept</w:t>
    </w:r>
    <w:r w:rsidR="003268D3">
      <w:t>.</w:t>
    </w:r>
    <w:bookmarkStart w:id="1" w:name="_GoBack"/>
    <w:bookmarkEnd w:id="1"/>
    <w:r>
      <w:t xml:space="preserve"> 202</w:t>
    </w:r>
    <w:bookmarkEnd w:id="0"/>
    <w:r w:rsidR="00A06AB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DC957" w14:textId="77777777" w:rsidR="0018557E" w:rsidRDefault="0018557E">
      <w:r>
        <w:separator/>
      </w:r>
    </w:p>
  </w:footnote>
  <w:footnote w:type="continuationSeparator" w:id="0">
    <w:p w14:paraId="4AD7228F" w14:textId="77777777" w:rsidR="0018557E" w:rsidRDefault="0018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76B1" w14:textId="77777777" w:rsidR="00A06AB0" w:rsidRDefault="00A0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D1A0" w14:textId="77777777" w:rsidR="0018557E" w:rsidRDefault="0018557E">
    <w:pPr>
      <w:pStyle w:val="Header"/>
      <w:spacing w:after="120"/>
      <w:rPr>
        <w:rFonts w:ascii="Arial Rounded MT Bold" w:hAnsi="Arial Rounded MT Bold"/>
        <w:sz w:val="22"/>
        <w:szCs w:val="22"/>
      </w:rPr>
    </w:pPr>
    <w:r>
      <w:rPr>
        <w:rFonts w:ascii="Arial Rounded MT Bold" w:hAnsi="Arial Rounded MT Bold"/>
        <w:sz w:val="22"/>
        <w:szCs w:val="22"/>
      </w:rPr>
      <w:t>Graduate Program in BBME</w:t>
    </w:r>
    <w:r>
      <w:rPr>
        <w:rFonts w:ascii="Arial Rounded MT Bold" w:hAnsi="Arial Rounded MT Bold"/>
        <w:sz w:val="22"/>
        <w:szCs w:val="22"/>
      </w:rPr>
      <w:tab/>
    </w:r>
    <w:r>
      <w:rPr>
        <w:rFonts w:ascii="Arial Rounded MT Bold" w:hAnsi="Arial Rounded MT Bold"/>
        <w:sz w:val="22"/>
        <w:szCs w:val="22"/>
      </w:rPr>
      <w:tab/>
    </w:r>
    <w:r>
      <w:rPr>
        <w:i/>
        <w:sz w:val="22"/>
        <w:szCs w:val="22"/>
      </w:rPr>
      <w:t xml:space="preserve">Letter of Understanding </w:t>
    </w:r>
  </w:p>
  <w:p w14:paraId="201FAE9C" w14:textId="77777777" w:rsidR="0018557E" w:rsidRDefault="0018557E">
    <w:pPr>
      <w:pStyle w:val="Header"/>
      <w:rPr>
        <w:rFonts w:ascii="Arial Rounded MT Bold" w:hAnsi="Arial Rounded MT Bol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1BF3" w14:textId="77777777" w:rsidR="0018557E" w:rsidRDefault="0018557E" w:rsidP="00D6786C">
    <w:pPr>
      <w:pStyle w:val="Header"/>
      <w:spacing w:after="120"/>
      <w:rPr>
        <w:rFonts w:ascii="Arial Rounded MT Bold" w:hAnsi="Arial Rounded MT Bold"/>
        <w:sz w:val="36"/>
        <w:szCs w:val="36"/>
      </w:rPr>
    </w:pPr>
    <w:r>
      <w:rPr>
        <w:noProof/>
        <w:lang w:val="en-CA" w:eastAsia="en-CA"/>
      </w:rPr>
      <w:drawing>
        <wp:anchor distT="0" distB="10160" distL="114300" distR="114300" simplePos="0" relativeHeight="251659264" behindDoc="1" locked="0" layoutInCell="1" allowOverlap="1" wp14:anchorId="1FE8E263" wp14:editId="4441A491">
          <wp:simplePos x="0" y="0"/>
          <wp:positionH relativeFrom="margin">
            <wp:posOffset>-173355</wp:posOffset>
          </wp:positionH>
          <wp:positionV relativeFrom="margin">
            <wp:posOffset>-812800</wp:posOffset>
          </wp:positionV>
          <wp:extent cx="1828800" cy="574040"/>
          <wp:effectExtent l="0" t="0" r="0" b="0"/>
          <wp:wrapNone/>
          <wp:docPr id="3" name="Picture 3" descr="../Dropbox/%20HLG%20Activities/Letterhead%20Icons%20BMED/McG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ropbox/%20HLG%20Activities/Letterhead%20Icons%20BMED/McGill.png"/>
                  <pic:cNvPicPr>
                    <a:picLocks noChangeAspect="1" noChangeArrowheads="1"/>
                  </pic:cNvPicPr>
                </pic:nvPicPr>
                <pic:blipFill>
                  <a:blip r:embed="rId1"/>
                  <a:stretch>
                    <a:fillRect/>
                  </a:stretch>
                </pic:blipFill>
                <pic:spPr bwMode="auto">
                  <a:xfrm>
                    <a:off x="0" y="0"/>
                    <a:ext cx="1828800" cy="574040"/>
                  </a:xfrm>
                  <a:prstGeom prst="rect">
                    <a:avLst/>
                  </a:prstGeom>
                </pic:spPr>
              </pic:pic>
            </a:graphicData>
          </a:graphic>
        </wp:anchor>
      </w:drawing>
    </w:r>
    <w:r>
      <w:tab/>
      <w:t xml:space="preserve">                                                                                 </w:t>
    </w:r>
    <w:r>
      <w:rPr>
        <w:rFonts w:ascii="Arial Rounded MT Bold" w:hAnsi="Arial Rounded MT Bold"/>
        <w:sz w:val="36"/>
        <w:szCs w:val="36"/>
      </w:rPr>
      <w:t>Graduate Program in</w:t>
    </w:r>
  </w:p>
  <w:p w14:paraId="017AF599" w14:textId="77777777" w:rsidR="0018557E" w:rsidRDefault="0018557E" w:rsidP="00D6786C">
    <w:pPr>
      <w:pStyle w:val="Header"/>
      <w:rPr>
        <w:rFonts w:ascii="Arial Rounded MT Bold" w:hAnsi="Arial Rounded MT Bold"/>
        <w:sz w:val="36"/>
        <w:szCs w:val="36"/>
      </w:rPr>
    </w:pPr>
    <w:r>
      <w:rPr>
        <w:rFonts w:ascii="Arial Rounded MT Bold" w:hAnsi="Arial Rounded MT Bold"/>
        <w:sz w:val="36"/>
        <w:szCs w:val="36"/>
      </w:rPr>
      <w:t xml:space="preserve">                                        Biological &amp; Biomedical Engineering  </w:t>
    </w:r>
  </w:p>
  <w:p w14:paraId="652CAA86" w14:textId="77777777" w:rsidR="0018557E" w:rsidRDefault="0018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FD7"/>
    <w:multiLevelType w:val="multilevel"/>
    <w:tmpl w:val="9E908BD6"/>
    <w:lvl w:ilvl="0">
      <w:start w:val="1"/>
      <w:numFmt w:val="bullet"/>
      <w:lvlText w:val=""/>
      <w:lvlJc w:val="left"/>
      <w:pPr>
        <w:ind w:left="357" w:hanging="360"/>
      </w:pPr>
      <w:rPr>
        <w:rFonts w:ascii="Symbol" w:hAnsi="Symbol" w:cs="Symbol" w:hint="default"/>
      </w:rPr>
    </w:lvl>
    <w:lvl w:ilvl="1">
      <w:start w:val="1"/>
      <w:numFmt w:val="bullet"/>
      <w:lvlText w:val="o"/>
      <w:lvlJc w:val="left"/>
      <w:pPr>
        <w:ind w:left="1077" w:hanging="360"/>
      </w:pPr>
      <w:rPr>
        <w:rFonts w:ascii="Courier New" w:hAnsi="Courier New" w:cs="Courier New" w:hint="default"/>
      </w:rPr>
    </w:lvl>
    <w:lvl w:ilvl="2">
      <w:start w:val="1"/>
      <w:numFmt w:val="bullet"/>
      <w:lvlText w:val=""/>
      <w:lvlJc w:val="left"/>
      <w:pPr>
        <w:ind w:left="1797" w:hanging="360"/>
      </w:pPr>
      <w:rPr>
        <w:rFonts w:ascii="Wingdings" w:hAnsi="Wingdings" w:cs="Wingdings" w:hint="default"/>
      </w:rPr>
    </w:lvl>
    <w:lvl w:ilvl="3">
      <w:start w:val="1"/>
      <w:numFmt w:val="bullet"/>
      <w:lvlText w:val=""/>
      <w:lvlJc w:val="left"/>
      <w:pPr>
        <w:ind w:left="2517" w:hanging="360"/>
      </w:pPr>
      <w:rPr>
        <w:rFonts w:ascii="Symbol" w:hAnsi="Symbol" w:cs="Symbol" w:hint="default"/>
      </w:rPr>
    </w:lvl>
    <w:lvl w:ilvl="4">
      <w:start w:val="1"/>
      <w:numFmt w:val="bullet"/>
      <w:lvlText w:val="o"/>
      <w:lvlJc w:val="left"/>
      <w:pPr>
        <w:ind w:left="3237" w:hanging="360"/>
      </w:pPr>
      <w:rPr>
        <w:rFonts w:ascii="Courier New" w:hAnsi="Courier New" w:cs="Courier New" w:hint="default"/>
      </w:rPr>
    </w:lvl>
    <w:lvl w:ilvl="5">
      <w:start w:val="1"/>
      <w:numFmt w:val="bullet"/>
      <w:lvlText w:val=""/>
      <w:lvlJc w:val="left"/>
      <w:pPr>
        <w:ind w:left="3957" w:hanging="360"/>
      </w:pPr>
      <w:rPr>
        <w:rFonts w:ascii="Wingdings" w:hAnsi="Wingdings" w:cs="Wingdings" w:hint="default"/>
      </w:rPr>
    </w:lvl>
    <w:lvl w:ilvl="6">
      <w:start w:val="1"/>
      <w:numFmt w:val="bullet"/>
      <w:lvlText w:val=""/>
      <w:lvlJc w:val="left"/>
      <w:pPr>
        <w:ind w:left="4677" w:hanging="360"/>
      </w:pPr>
      <w:rPr>
        <w:rFonts w:ascii="Symbol" w:hAnsi="Symbol" w:cs="Symbol" w:hint="default"/>
      </w:rPr>
    </w:lvl>
    <w:lvl w:ilvl="7">
      <w:start w:val="1"/>
      <w:numFmt w:val="bullet"/>
      <w:lvlText w:val="o"/>
      <w:lvlJc w:val="left"/>
      <w:pPr>
        <w:ind w:left="5397" w:hanging="360"/>
      </w:pPr>
      <w:rPr>
        <w:rFonts w:ascii="Courier New" w:hAnsi="Courier New" w:cs="Courier New" w:hint="default"/>
      </w:rPr>
    </w:lvl>
    <w:lvl w:ilvl="8">
      <w:start w:val="1"/>
      <w:numFmt w:val="bullet"/>
      <w:lvlText w:val=""/>
      <w:lvlJc w:val="left"/>
      <w:pPr>
        <w:ind w:left="6117" w:hanging="360"/>
      </w:pPr>
      <w:rPr>
        <w:rFonts w:ascii="Wingdings" w:hAnsi="Wingdings" w:cs="Wingdings" w:hint="default"/>
      </w:rPr>
    </w:lvl>
  </w:abstractNum>
  <w:abstractNum w:abstractNumId="1" w15:restartNumberingAfterBreak="0">
    <w:nsid w:val="0FBF4C49"/>
    <w:multiLevelType w:val="hybridMultilevel"/>
    <w:tmpl w:val="B75864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33A14CC"/>
    <w:multiLevelType w:val="multilevel"/>
    <w:tmpl w:val="711A5F0C"/>
    <w:lvl w:ilvl="0">
      <w:start w:val="3"/>
      <w:numFmt w:val="decimal"/>
      <w:lvlText w:val="%1)"/>
      <w:lvlJc w:val="left"/>
      <w:pPr>
        <w:ind w:left="360" w:hanging="360"/>
      </w:pPr>
      <w:rPr>
        <w:rFonts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49E6F1E"/>
    <w:multiLevelType w:val="hybridMultilevel"/>
    <w:tmpl w:val="EF924334"/>
    <w:lvl w:ilvl="0" w:tplc="9CE0C7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C30F83"/>
    <w:multiLevelType w:val="hybridMultilevel"/>
    <w:tmpl w:val="A5E498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AD5392D"/>
    <w:multiLevelType w:val="multilevel"/>
    <w:tmpl w:val="51767BC8"/>
    <w:lvl w:ilvl="0">
      <w:start w:val="1"/>
      <w:numFmt w:val="decimal"/>
      <w:lvlText w:val="%1)"/>
      <w:lvlJc w:val="left"/>
      <w:pPr>
        <w:ind w:left="360" w:hanging="360"/>
      </w:pPr>
      <w:rPr>
        <w:b/>
        <w:bCs/>
        <w:sz w:val="28"/>
        <w:szCs w:val="28"/>
      </w:r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6" w15:restartNumberingAfterBreak="0">
    <w:nsid w:val="410F125B"/>
    <w:multiLevelType w:val="hybridMultilevel"/>
    <w:tmpl w:val="49D4A6F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184185C"/>
    <w:multiLevelType w:val="multilevel"/>
    <w:tmpl w:val="4F1E90E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BA94920"/>
    <w:multiLevelType w:val="hybridMultilevel"/>
    <w:tmpl w:val="367A4712"/>
    <w:lvl w:ilvl="0" w:tplc="10090001">
      <w:start w:val="1"/>
      <w:numFmt w:val="bullet"/>
      <w:lvlText w:val=""/>
      <w:lvlJc w:val="left"/>
      <w:pPr>
        <w:ind w:left="1134" w:hanging="360"/>
      </w:pPr>
      <w:rPr>
        <w:rFonts w:ascii="Symbol" w:hAnsi="Symbo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9" w15:restartNumberingAfterBreak="0">
    <w:nsid w:val="61524082"/>
    <w:multiLevelType w:val="hybridMultilevel"/>
    <w:tmpl w:val="D7CAE52C"/>
    <w:lvl w:ilvl="0" w:tplc="4140926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597C5A"/>
    <w:multiLevelType w:val="hybridMultilevel"/>
    <w:tmpl w:val="2932E08E"/>
    <w:lvl w:ilvl="0" w:tplc="10090001">
      <w:start w:val="1"/>
      <w:numFmt w:val="bullet"/>
      <w:lvlText w:val=""/>
      <w:lvlJc w:val="left"/>
      <w:pPr>
        <w:ind w:left="2061" w:hanging="360"/>
      </w:pPr>
      <w:rPr>
        <w:rFonts w:ascii="Symbol" w:hAnsi="Symbol"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11" w15:restartNumberingAfterBreak="0">
    <w:nsid w:val="719078CF"/>
    <w:multiLevelType w:val="hybridMultilevel"/>
    <w:tmpl w:val="CD582C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E2E6E7C"/>
    <w:multiLevelType w:val="multilevel"/>
    <w:tmpl w:val="C5FE40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2"/>
  </w:num>
  <w:num w:numId="3">
    <w:abstractNumId w:val="5"/>
  </w:num>
  <w:num w:numId="4">
    <w:abstractNumId w:val="6"/>
  </w:num>
  <w:num w:numId="5">
    <w:abstractNumId w:val="9"/>
  </w:num>
  <w:num w:numId="6">
    <w:abstractNumId w:val="2"/>
  </w:num>
  <w:num w:numId="7">
    <w:abstractNumId w:val="10"/>
  </w:num>
  <w:num w:numId="8">
    <w:abstractNumId w:val="8"/>
  </w:num>
  <w:num w:numId="9">
    <w:abstractNumId w:val="11"/>
  </w:num>
  <w:num w:numId="10">
    <w:abstractNumId w:val="4"/>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0E"/>
    <w:rsid w:val="000708E9"/>
    <w:rsid w:val="000B3A67"/>
    <w:rsid w:val="000D0947"/>
    <w:rsid w:val="0018557E"/>
    <w:rsid w:val="00243B7D"/>
    <w:rsid w:val="003268D3"/>
    <w:rsid w:val="00372C74"/>
    <w:rsid w:val="00455502"/>
    <w:rsid w:val="00465870"/>
    <w:rsid w:val="005F33ED"/>
    <w:rsid w:val="006376EE"/>
    <w:rsid w:val="00753EDF"/>
    <w:rsid w:val="00775BDB"/>
    <w:rsid w:val="007F0BE3"/>
    <w:rsid w:val="00836C0C"/>
    <w:rsid w:val="00850CC8"/>
    <w:rsid w:val="008674DE"/>
    <w:rsid w:val="00950BEC"/>
    <w:rsid w:val="00985BB2"/>
    <w:rsid w:val="00995C24"/>
    <w:rsid w:val="009A38AF"/>
    <w:rsid w:val="009D7C46"/>
    <w:rsid w:val="009E36CF"/>
    <w:rsid w:val="00A06AB0"/>
    <w:rsid w:val="00A50C01"/>
    <w:rsid w:val="00B45D94"/>
    <w:rsid w:val="00B91DA2"/>
    <w:rsid w:val="00C47234"/>
    <w:rsid w:val="00D01301"/>
    <w:rsid w:val="00D27B0E"/>
    <w:rsid w:val="00D60A1D"/>
    <w:rsid w:val="00D6786C"/>
    <w:rsid w:val="00DA1DF3"/>
    <w:rsid w:val="00E10F43"/>
    <w:rsid w:val="00E52FC3"/>
    <w:rsid w:val="00EA6FAF"/>
    <w:rsid w:val="00F71799"/>
    <w:rsid w:val="00F7421B"/>
    <w:rsid w:val="00F8165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7781F4"/>
  <w15:docId w15:val="{88D263CE-CA0D-404A-84EC-C9B3D9C7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210D38"/>
    <w:rPr>
      <w:sz w:val="18"/>
      <w:szCs w:val="18"/>
    </w:rPr>
  </w:style>
  <w:style w:type="character" w:customStyle="1" w:styleId="CommentTextChar">
    <w:name w:val="Comment Text Char"/>
    <w:basedOn w:val="DefaultParagraphFont"/>
    <w:link w:val="CommentText"/>
    <w:uiPriority w:val="99"/>
    <w:semiHidden/>
    <w:qFormat/>
    <w:rsid w:val="00210D38"/>
  </w:style>
  <w:style w:type="character" w:customStyle="1" w:styleId="CommentSubjectChar">
    <w:name w:val="Comment Subject Char"/>
    <w:basedOn w:val="CommentTextChar"/>
    <w:link w:val="CommentSubject"/>
    <w:uiPriority w:val="99"/>
    <w:semiHidden/>
    <w:qFormat/>
    <w:rsid w:val="00210D38"/>
    <w:rPr>
      <w:b/>
      <w:bCs/>
      <w:sz w:val="20"/>
      <w:szCs w:val="20"/>
    </w:rPr>
  </w:style>
  <w:style w:type="character" w:customStyle="1" w:styleId="BalloonTextChar">
    <w:name w:val="Balloon Text Char"/>
    <w:basedOn w:val="DefaultParagraphFont"/>
    <w:link w:val="BalloonText"/>
    <w:uiPriority w:val="99"/>
    <w:semiHidden/>
    <w:qFormat/>
    <w:rsid w:val="00210D38"/>
    <w:rPr>
      <w:rFonts w:ascii="Lucida Grande" w:hAnsi="Lucida Grande" w:cs="Lucida Grande"/>
      <w:sz w:val="18"/>
      <w:szCs w:val="18"/>
    </w:rPr>
  </w:style>
  <w:style w:type="character" w:customStyle="1" w:styleId="HeaderChar">
    <w:name w:val="Header Char"/>
    <w:basedOn w:val="DefaultParagraphFont"/>
    <w:link w:val="Header"/>
    <w:uiPriority w:val="99"/>
    <w:qFormat/>
    <w:rsid w:val="006B54C9"/>
  </w:style>
  <w:style w:type="character" w:customStyle="1" w:styleId="FooterChar">
    <w:name w:val="Footer Char"/>
    <w:basedOn w:val="DefaultParagraphFont"/>
    <w:link w:val="Footer"/>
    <w:uiPriority w:val="99"/>
    <w:qFormat/>
    <w:rsid w:val="006B54C9"/>
  </w:style>
  <w:style w:type="character" w:styleId="PageNumber">
    <w:name w:val="page number"/>
    <w:basedOn w:val="DefaultParagraphFont"/>
    <w:uiPriority w:val="99"/>
    <w:semiHidden/>
    <w:unhideWhenUsed/>
    <w:qFormat/>
    <w:rsid w:val="006D3CC3"/>
  </w:style>
  <w:style w:type="character" w:customStyle="1" w:styleId="InternetLink">
    <w:name w:val="Internet Link"/>
    <w:basedOn w:val="DefaultParagraphFont"/>
    <w:uiPriority w:val="99"/>
    <w:unhideWhenUsed/>
    <w:rsid w:val="00E45F01"/>
    <w:rPr>
      <w:color w:val="0563C1" w:themeColor="hyperlink"/>
      <w:u w:val="single"/>
    </w:rPr>
  </w:style>
  <w:style w:type="character" w:styleId="FollowedHyperlink">
    <w:name w:val="FollowedHyperlink"/>
    <w:basedOn w:val="DefaultParagraphFont"/>
    <w:uiPriority w:val="99"/>
    <w:semiHidden/>
    <w:unhideWhenUsed/>
    <w:qFormat/>
    <w:rsid w:val="00B01D5D"/>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B05654"/>
    <w:pPr>
      <w:widowControl w:val="0"/>
    </w:pPr>
    <w:rPr>
      <w:rFonts w:ascii="Calibri" w:eastAsia="Calibri" w:hAnsi="Calibri" w:cs="Calibri"/>
      <w:color w:val="000000"/>
    </w:rPr>
  </w:style>
  <w:style w:type="paragraph" w:styleId="CommentText">
    <w:name w:val="annotation text"/>
    <w:basedOn w:val="Normal"/>
    <w:link w:val="CommentTextChar"/>
    <w:uiPriority w:val="99"/>
    <w:semiHidden/>
    <w:unhideWhenUsed/>
    <w:qFormat/>
    <w:rsid w:val="00210D38"/>
  </w:style>
  <w:style w:type="paragraph" w:styleId="CommentSubject">
    <w:name w:val="annotation subject"/>
    <w:basedOn w:val="CommentText"/>
    <w:link w:val="CommentSubjectChar"/>
    <w:uiPriority w:val="99"/>
    <w:semiHidden/>
    <w:unhideWhenUsed/>
    <w:qFormat/>
    <w:rsid w:val="00210D38"/>
    <w:rPr>
      <w:b/>
      <w:bCs/>
      <w:sz w:val="20"/>
      <w:szCs w:val="20"/>
    </w:rPr>
  </w:style>
  <w:style w:type="paragraph" w:styleId="BalloonText">
    <w:name w:val="Balloon Text"/>
    <w:basedOn w:val="Normal"/>
    <w:link w:val="BalloonTextChar"/>
    <w:uiPriority w:val="99"/>
    <w:semiHidden/>
    <w:unhideWhenUsed/>
    <w:qFormat/>
    <w:rsid w:val="00210D38"/>
    <w:rPr>
      <w:rFonts w:ascii="Lucida Grande" w:hAnsi="Lucida Grande" w:cs="Lucida Grande"/>
      <w:sz w:val="18"/>
      <w:szCs w:val="18"/>
    </w:rPr>
  </w:style>
  <w:style w:type="paragraph" w:styleId="Header">
    <w:name w:val="header"/>
    <w:basedOn w:val="Normal"/>
    <w:link w:val="HeaderChar"/>
    <w:uiPriority w:val="99"/>
    <w:unhideWhenUsed/>
    <w:rsid w:val="006B54C9"/>
    <w:pPr>
      <w:tabs>
        <w:tab w:val="center" w:pos="4680"/>
        <w:tab w:val="right" w:pos="9360"/>
      </w:tabs>
    </w:pPr>
  </w:style>
  <w:style w:type="paragraph" w:styleId="Footer">
    <w:name w:val="footer"/>
    <w:basedOn w:val="Normal"/>
    <w:link w:val="FooterChar"/>
    <w:uiPriority w:val="99"/>
    <w:unhideWhenUsed/>
    <w:rsid w:val="006B54C9"/>
    <w:pPr>
      <w:tabs>
        <w:tab w:val="center" w:pos="4680"/>
        <w:tab w:val="right" w:pos="9360"/>
      </w:tabs>
    </w:pPr>
  </w:style>
  <w:style w:type="paragraph" w:styleId="Revision">
    <w:name w:val="Revision"/>
    <w:uiPriority w:val="99"/>
    <w:semiHidden/>
    <w:qFormat/>
    <w:rsid w:val="00B4208C"/>
  </w:style>
  <w:style w:type="paragraph" w:styleId="ListParagraph">
    <w:name w:val="List Paragraph"/>
    <w:basedOn w:val="Normal"/>
    <w:uiPriority w:val="34"/>
    <w:qFormat/>
    <w:rsid w:val="000B270A"/>
    <w:pPr>
      <w:ind w:left="720"/>
      <w:contextualSpacing/>
    </w:pPr>
  </w:style>
  <w:style w:type="paragraph" w:customStyle="1" w:styleId="FrameContents">
    <w:name w:val="Frame Contents"/>
    <w:basedOn w:val="Normal"/>
    <w:qFormat/>
  </w:style>
  <w:style w:type="table" w:styleId="TableGrid">
    <w:name w:val="Table Grid"/>
    <w:basedOn w:val="TableNormal"/>
    <w:uiPriority w:val="39"/>
    <w:rsid w:val="00F81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3A67"/>
    <w:rPr>
      <w:color w:val="808080"/>
    </w:rPr>
  </w:style>
  <w:style w:type="character" w:styleId="Hyperlink">
    <w:name w:val="Hyperlink"/>
    <w:basedOn w:val="DefaultParagraphFont"/>
    <w:uiPriority w:val="99"/>
    <w:unhideWhenUsed/>
    <w:rsid w:val="00775BDB"/>
    <w:rPr>
      <w:color w:val="0563C1" w:themeColor="hyperlink"/>
      <w:u w:val="single"/>
    </w:rPr>
  </w:style>
  <w:style w:type="character" w:styleId="UnresolvedMention">
    <w:name w:val="Unresolved Mention"/>
    <w:basedOn w:val="DefaultParagraphFont"/>
    <w:uiPriority w:val="99"/>
    <w:semiHidden/>
    <w:unhideWhenUsed/>
    <w:rsid w:val="00775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cgill.ca/gradsupervision/resources/policies-guidelines-and-advice" TargetMode="External"/><Relationship Id="rId18" Type="http://schemas.openxmlformats.org/officeDocument/2006/relationships/hyperlink" Target="https://www.mcgill.ca/omr/harassment-discrimination-0" TargetMode="External"/><Relationship Id="rId26" Type="http://schemas.openxmlformats.org/officeDocument/2006/relationships/hyperlink" Target="https://www.mcgill.ca/deanofstudents/staff/worrisome-behaviour"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mcgill.ca/deanofstudents/"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cgill.ca/bbme/students/policies-forms" TargetMode="External"/><Relationship Id="rId17" Type="http://schemas.openxmlformats.org/officeDocument/2006/relationships/hyperlink" Target="https://www.mcgill.ca/gradsupervision/supervisors/training-supervisors" TargetMode="External"/><Relationship Id="rId25" Type="http://schemas.openxmlformats.org/officeDocument/2006/relationships/hyperlink" Target="https://www.mcgill.ca/students/srr/personalrights/dignity" TargetMode="External"/><Relationship Id="rId33" Type="http://schemas.openxmlformats.org/officeDocument/2006/relationships/hyperlink" Target="https://www.mcgill.ca/secretariat/policies-and-regulations"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cgill.ca/secretariat/files/secretariat/employment_of_tenure_track_and_tenured_academic_staff_regs_relating_to.pdf" TargetMode="External"/><Relationship Id="rId20" Type="http://schemas.openxmlformats.org/officeDocument/2006/relationships/hyperlink" Target="https://www.mcgill.ca/omr/" TargetMode="External"/><Relationship Id="rId29" Type="http://schemas.openxmlformats.org/officeDocument/2006/relationships/hyperlink" Target="https://www.mcgill.ca/deanofstudents/staff/helpingstudent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gill.ca/gradsupervision/timelines/emergence-independent-researchers/publishing" TargetMode="External"/><Relationship Id="rId24" Type="http://schemas.openxmlformats.org/officeDocument/2006/relationships/hyperlink" Target="https://www.mcgill.ca/importantdates/holy-days-0/policy-holy-days" TargetMode="External"/><Relationship Id="rId32" Type="http://schemas.openxmlformats.org/officeDocument/2006/relationships/hyperlink" Target="https://www.mcgill.ca/gps/students/policies-and-guidelin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cgill.ca/ehs/environmental-health-and-safety" TargetMode="External"/><Relationship Id="rId23" Type="http://schemas.openxmlformats.org/officeDocument/2006/relationships/hyperlink" Target="https://www.mcgill.ca/secretariat/files/secretariat/rights-of-students-with-disabilities-policy-concerning-the_1.pdf" TargetMode="External"/><Relationship Id="rId28" Type="http://schemas.openxmlformats.org/officeDocument/2006/relationships/hyperlink" Target="https://www.mcgill.ca/wellness-hub/hub-clinical-services/hub-clinicians/local-wellness-advisors" TargetMode="External"/><Relationship Id="rId36" Type="http://schemas.openxmlformats.org/officeDocument/2006/relationships/footer" Target="footer1.xml"/><Relationship Id="rId10" Type="http://schemas.openxmlformats.org/officeDocument/2006/relationships/hyperlink" Target="http://www.mcgill.ca/gradsupervision" TargetMode="External"/><Relationship Id="rId19" Type="http://schemas.openxmlformats.org/officeDocument/2006/relationships/hyperlink" Target="https://www.mcgill.ca/omr/sexual-violence-0" TargetMode="External"/><Relationship Id="rId31" Type="http://schemas.openxmlformats.org/officeDocument/2006/relationships/hyperlink" Target="https://www.mcgill.ca/gps/students/registration/progress/leave-vacation" TargetMode="External"/><Relationship Id="rId4" Type="http://schemas.openxmlformats.org/officeDocument/2006/relationships/styles" Target="styles.xml"/><Relationship Id="rId9" Type="http://schemas.openxmlformats.org/officeDocument/2006/relationships/hyperlink" Target="https://www.mcgill.ca/study/university_regulations_and_resources/graduate" TargetMode="External"/><Relationship Id="rId14" Type="http://schemas.openxmlformats.org/officeDocument/2006/relationships/hyperlink" Target="https://www.mcgill.ca/gradsupervision/supervisors/interacting-supervisees/student-supervisor" TargetMode="External"/><Relationship Id="rId22" Type="http://schemas.openxmlformats.org/officeDocument/2006/relationships/hyperlink" Target="https://www.mcgill.ca/students/srr/personalrights/dignity" TargetMode="External"/><Relationship Id="rId27" Type="http://schemas.openxmlformats.org/officeDocument/2006/relationships/hyperlink" Target="https://www.mcgill.ca/deanofstudents/staff/helpingstudents" TargetMode="External"/><Relationship Id="rId30" Type="http://schemas.openxmlformats.org/officeDocument/2006/relationships/hyperlink" Target="https://www.mcgill.ca/gps/students/policies-and-guidelines/parental-leave"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3F42252-C005-4A6A-BB08-07B8B09C0C9D}"/>
      </w:docPartPr>
      <w:docPartBody>
        <w:p w:rsidR="00C02EC7" w:rsidRDefault="00C02EC7">
          <w:r w:rsidRPr="002061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1"/>
    <w:family w:val="roman"/>
    <w:pitch w:val="variable"/>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C7"/>
    <w:rsid w:val="00C02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E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74BC74-0582-412E-9E81-C8292B4A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Galiana, Prof.</dc:creator>
  <dc:description/>
  <cp:lastModifiedBy>Pina Sorrini, Ms.</cp:lastModifiedBy>
  <cp:revision>6</cp:revision>
  <dcterms:created xsi:type="dcterms:W3CDTF">2022-09-22T20:58:00Z</dcterms:created>
  <dcterms:modified xsi:type="dcterms:W3CDTF">2022-10-18T17:51:00Z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McGill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